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88" w:after="567"/>
        <w:jc w:val="left"/>
        <w:rPr>
          <w:rFonts w:ascii="Times" w:hAnsi="Times" w:cs="Times"/>
          <w:b/>
          <w:bCs/>
          <w:sz w:val="34"/>
          <w:szCs w:val="34"/>
        </w:rPr>
      </w:pPr>
      <w:r>
        <w:rPr>
          <w:rFonts w:ascii="Times" w:hAnsi="Times" w:cs="Times"/>
          <w:b/>
          <w:bCs/>
          <w:sz w:val="34"/>
          <w:szCs w:val="34"/>
        </w:rPr>
        <w:t>论文排版指南</w:t>
      </w:r>
      <w:r>
        <w:rPr>
          <w:rFonts w:hint="eastAsia" w:ascii="Times" w:hAnsi="Times" w:cs="Times"/>
          <w:b/>
          <w:bCs/>
          <w:sz w:val="34"/>
          <w:szCs w:val="34"/>
        </w:rPr>
        <w:t>：全文字体</w:t>
      </w:r>
      <w:r>
        <w:rPr>
          <w:rFonts w:ascii="Times" w:hAnsi="Times" w:cs="Times"/>
          <w:b/>
          <w:bCs/>
          <w:sz w:val="34"/>
          <w:szCs w:val="34"/>
        </w:rPr>
        <w:t>统一Times New Roman</w:t>
      </w:r>
      <w:r>
        <w:rPr>
          <w:rFonts w:hint="eastAsia" w:ascii="Times" w:hAnsi="Times" w:cs="Times"/>
          <w:b/>
          <w:bCs/>
          <w:sz w:val="34"/>
          <w:szCs w:val="34"/>
        </w:rPr>
        <w:t>，单倍行距，A</w:t>
      </w:r>
      <w:r>
        <w:rPr>
          <w:rFonts w:ascii="Times" w:hAnsi="Times" w:cs="Times"/>
          <w:b/>
          <w:bCs/>
          <w:sz w:val="34"/>
          <w:szCs w:val="34"/>
        </w:rPr>
        <w:t>4</w:t>
      </w:r>
      <w:r>
        <w:rPr>
          <w:rFonts w:hint="eastAsia" w:ascii="Times" w:hAnsi="Times" w:cs="Times"/>
          <w:b/>
          <w:bCs/>
          <w:sz w:val="34"/>
          <w:szCs w:val="34"/>
        </w:rPr>
        <w:t>，无网格，页面布局：页边距：上：</w:t>
      </w:r>
      <w:r>
        <w:rPr>
          <w:rFonts w:ascii="Times" w:hAnsi="Times" w:cs="Times"/>
          <w:b/>
          <w:bCs/>
          <w:sz w:val="34"/>
          <w:szCs w:val="34"/>
        </w:rPr>
        <w:t>4cm；下：2.7cm；左右：2.5cm</w:t>
      </w:r>
      <w:r>
        <w:rPr>
          <w:rFonts w:hint="eastAsia" w:ascii="Times" w:hAnsi="Times" w:cs="Times"/>
          <w:b/>
          <w:bCs/>
          <w:sz w:val="34"/>
          <w:szCs w:val="34"/>
        </w:rPr>
        <w:t>。论文题目</w:t>
      </w:r>
      <w:r>
        <w:rPr>
          <w:rFonts w:ascii="Times" w:hAnsi="Times" w:cs="Times"/>
          <w:b/>
          <w:bCs/>
          <w:sz w:val="34"/>
          <w:szCs w:val="34"/>
        </w:rPr>
        <w:t>字号：17，段前：79.4磅，段28.35磅，加粗</w:t>
      </w:r>
      <w:r>
        <w:rPr>
          <w:rFonts w:hint="eastAsia" w:ascii="Times" w:hAnsi="Times" w:cs="Times"/>
          <w:b/>
          <w:bCs/>
          <w:sz w:val="34"/>
          <w:szCs w:val="34"/>
        </w:rPr>
        <w:t>，标题第一个单词首字母大写，除（专有名词）其余均小写</w:t>
      </w:r>
    </w:p>
    <w:p>
      <w:pPr>
        <w:spacing w:after="113"/>
        <w:ind w:left="1418"/>
        <w:rPr>
          <w:rFonts w:ascii="Times New Roman" w:hAnsi="Times New Roman" w:cs="Times New Roman"/>
          <w:b/>
          <w:bCs/>
          <w:sz w:val="22"/>
        </w:rPr>
      </w:pPr>
      <w:r>
        <w:rPr>
          <w:rFonts w:ascii="Times New Roman" w:hAnsi="Times New Roman" w:cs="Times New Roman"/>
          <w:b/>
          <w:bCs/>
          <w:sz w:val="22"/>
        </w:rPr>
        <w:t>San Zhang</w:t>
      </w:r>
      <w:r>
        <w:rPr>
          <w:rFonts w:ascii="Times New Roman" w:hAnsi="Times New Roman" w:cs="Times New Roman"/>
          <w:b/>
          <w:bCs/>
          <w:sz w:val="22"/>
          <w:vertAlign w:val="superscript"/>
        </w:rPr>
        <w:t>1</w:t>
      </w:r>
      <w:r>
        <w:rPr>
          <w:rFonts w:ascii="Times New Roman" w:hAnsi="Times New Roman" w:cs="Times New Roman"/>
          <w:b/>
          <w:bCs/>
          <w:sz w:val="22"/>
        </w:rPr>
        <w:t>, Si li</w:t>
      </w:r>
      <w:r>
        <w:rPr>
          <w:rFonts w:ascii="Times New Roman" w:hAnsi="Times New Roman" w:cs="Times New Roman"/>
          <w:b/>
          <w:bCs/>
          <w:sz w:val="22"/>
          <w:vertAlign w:val="superscript"/>
        </w:rPr>
        <w:t>2,3</w:t>
      </w:r>
      <w:r>
        <w:rPr>
          <w:rFonts w:ascii="Times New Roman" w:hAnsi="Times New Roman" w:cs="Times New Roman"/>
          <w:b/>
          <w:bCs/>
          <w:sz w:val="22"/>
        </w:rPr>
        <w:t>, Geliang Zhu</w:t>
      </w:r>
      <w:r>
        <w:rPr>
          <w:rFonts w:ascii="Times New Roman" w:hAnsi="Times New Roman" w:cs="Times New Roman"/>
          <w:b/>
          <w:bCs/>
          <w:sz w:val="22"/>
          <w:vertAlign w:val="superscript"/>
        </w:rPr>
        <w:t xml:space="preserve">4, </w:t>
      </w:r>
      <w:r>
        <w:rPr>
          <w:rFonts w:hint="eastAsia" w:ascii="Times New Roman" w:hAnsi="Times New Roman" w:cs="Times New Roman"/>
          <w:b/>
          <w:bCs/>
          <w:sz w:val="22"/>
          <w:vertAlign w:val="superscript"/>
        </w:rPr>
        <w:t>*</w:t>
      </w:r>
      <w:r>
        <w:rPr>
          <w:rFonts w:ascii="Times New Roman" w:hAnsi="Times New Roman" w:cs="Times New Roman"/>
          <w:b/>
          <w:bCs/>
          <w:sz w:val="22"/>
          <w:vertAlign w:val="superscript"/>
        </w:rPr>
        <w:t xml:space="preserve"> </w:t>
      </w:r>
      <w:r>
        <w:rPr>
          <w:rFonts w:ascii="Times New Roman" w:hAnsi="Times New Roman" w:cs="Times New Roman"/>
          <w:b/>
          <w:bCs/>
          <w:sz w:val="22"/>
        </w:rPr>
        <w:t>and G Barbastathis</w:t>
      </w:r>
      <w:r>
        <w:rPr>
          <w:rFonts w:ascii="Times New Roman" w:hAnsi="Times New Roman" w:cs="Times New Roman"/>
          <w:b/>
          <w:bCs/>
          <w:sz w:val="22"/>
          <w:vertAlign w:val="superscript"/>
        </w:rPr>
        <w:t>4</w:t>
      </w:r>
    </w:p>
    <w:p>
      <w:pPr>
        <w:pStyle w:val="8"/>
        <w:spacing w:before="0"/>
        <w:ind w:left="1418"/>
        <w:jc w:val="both"/>
        <w:rPr>
          <w:rFonts w:ascii="Times New Roman" w:hAnsi="Times New Roman" w:cs="Times New Roman" w:eastAsiaTheme="minorEastAsia"/>
          <w:snapToGrid w:val="0"/>
          <w:lang w:eastAsia="zh-CN"/>
        </w:rPr>
      </w:pPr>
      <w:r>
        <w:rPr>
          <w:rFonts w:ascii="Times New Roman" w:hAnsi="Times New Roman" w:cs="Times New Roman" w:eastAsiaTheme="minorEastAsia"/>
          <w:snapToGrid w:val="0"/>
          <w:vertAlign w:val="superscript"/>
          <w:lang w:eastAsia="zh-CN"/>
        </w:rPr>
        <w:t>1</w:t>
      </w:r>
      <w:r>
        <w:rPr>
          <w:rFonts w:ascii="Times New Roman" w:hAnsi="Times New Roman" w:cs="Times New Roman" w:eastAsiaTheme="minorEastAsia"/>
          <w:snapToGrid w:val="0"/>
          <w:lang w:eastAsia="zh-CN"/>
        </w:rPr>
        <w:t>Guangzhou University, Guangzhou, Guangdong, 510000, China</w:t>
      </w:r>
    </w:p>
    <w:p>
      <w:pPr>
        <w:pStyle w:val="8"/>
        <w:spacing w:before="0"/>
        <w:ind w:left="1418"/>
        <w:jc w:val="both"/>
        <w:rPr>
          <w:rFonts w:ascii="Times New Roman" w:hAnsi="Times New Roman" w:cs="Times New Roman" w:eastAsiaTheme="minorEastAsia"/>
          <w:snapToGrid w:val="0"/>
          <w:lang w:eastAsia="zh-CN"/>
        </w:rPr>
      </w:pPr>
      <w:r>
        <w:rPr>
          <w:rFonts w:ascii="Times New Roman" w:hAnsi="Times New Roman" w:cs="Times New Roman" w:eastAsiaTheme="minorEastAsia"/>
          <w:snapToGrid w:val="0"/>
          <w:vertAlign w:val="superscript"/>
          <w:lang w:eastAsia="zh-CN"/>
        </w:rPr>
        <w:t>2</w:t>
      </w:r>
      <w:r>
        <w:rPr>
          <w:rFonts w:ascii="Times New Roman" w:hAnsi="Times New Roman" w:cs="Times New Roman" w:eastAsiaTheme="minorEastAsia"/>
          <w:snapToGrid w:val="0"/>
          <w:lang w:eastAsia="zh-CN"/>
        </w:rPr>
        <w:t>Sun Yat-sen University, Guangzhou, Guangdong, 510000, China</w:t>
      </w:r>
    </w:p>
    <w:p>
      <w:pPr>
        <w:ind w:left="1418"/>
        <w:rPr>
          <w:rFonts w:ascii="Times New Roman" w:hAnsi="Times New Roman" w:cs="Times New Roman"/>
          <w:snapToGrid w:val="0"/>
          <w:kern w:val="0"/>
          <w:sz w:val="22"/>
        </w:rPr>
      </w:pPr>
      <w:r>
        <w:rPr>
          <w:rFonts w:ascii="Times New Roman" w:hAnsi="Times New Roman" w:cs="Times New Roman"/>
          <w:snapToGrid w:val="0"/>
          <w:sz w:val="22"/>
          <w:vertAlign w:val="superscript"/>
        </w:rPr>
        <w:t>3</w:t>
      </w:r>
      <w:r>
        <w:rPr>
          <w:rFonts w:ascii="Times New Roman" w:hAnsi="Times New Roman" w:cs="Times New Roman"/>
          <w:snapToGrid w:val="0"/>
          <w:kern w:val="0"/>
          <w:sz w:val="22"/>
        </w:rPr>
        <w:t>College of Control Science and Engineering, Shandong University, Jinan, Shandong, 250000, China</w:t>
      </w:r>
    </w:p>
    <w:p>
      <w:pPr>
        <w:ind w:left="1418"/>
        <w:rPr>
          <w:rFonts w:ascii="Times New Roman" w:hAnsi="Times New Roman" w:cs="Times New Roman"/>
          <w:snapToGrid w:val="0"/>
        </w:rPr>
      </w:pPr>
      <w:r>
        <w:rPr>
          <w:rFonts w:ascii="Times New Roman" w:hAnsi="Times New Roman" w:cs="Times New Roman"/>
          <w:snapToGrid w:val="0"/>
          <w:kern w:val="0"/>
          <w:sz w:val="22"/>
          <w:vertAlign w:val="superscript"/>
        </w:rPr>
        <w:t>4</w:t>
      </w:r>
      <w:r>
        <w:rPr>
          <w:rFonts w:ascii="Times New Roman" w:hAnsi="Times New Roman" w:cs="Times New Roman"/>
          <w:snapToGrid w:val="0"/>
          <w:kern w:val="0"/>
          <w:sz w:val="22"/>
        </w:rPr>
        <w:t>School of Computer Science and Technology, Shandong University, Jinan, Shandong, 250000, China</w:t>
      </w:r>
    </w:p>
    <w:p>
      <w:pPr>
        <w:ind w:left="1418"/>
        <w:rPr>
          <w:rFonts w:ascii="Times New Roman" w:hAnsi="Times New Roman" w:cs="Times New Roman"/>
          <w:snapToGrid w:val="0"/>
        </w:rPr>
      </w:pPr>
    </w:p>
    <w:p>
      <w:pPr>
        <w:spacing w:after="240"/>
        <w:ind w:left="1418"/>
        <w:jc w:val="left"/>
        <w:rPr>
          <w:rFonts w:ascii="Times New Roman" w:hAnsi="Times New Roman" w:cs="Times New Roman"/>
          <w:snapToGrid w:val="0"/>
          <w:sz w:val="22"/>
        </w:rPr>
      </w:pPr>
      <w:r>
        <w:rPr>
          <w:rFonts w:hint="eastAsia" w:ascii="Times New Roman" w:hAnsi="Times New Roman" w:cs="Times New Roman"/>
          <w:sz w:val="22"/>
          <w:vertAlign w:val="superscript"/>
        </w:rPr>
        <w:t>*</w:t>
      </w:r>
      <w:r>
        <w:rPr>
          <w:rFonts w:ascii="Times New Roman" w:hAnsi="Times New Roman" w:cs="Times New Roman"/>
          <w:sz w:val="22"/>
        </w:rPr>
        <w:t xml:space="preserve">Corresponding author’s e-mail: </w:t>
      </w:r>
      <w:r>
        <w:rPr>
          <w:rFonts w:ascii="Times New Roman" w:hAnsi="Times New Roman" w:cs="Times New Roman"/>
          <w:snapToGrid w:val="0"/>
          <w:sz w:val="22"/>
        </w:rPr>
        <w:t>geliang_zhu@uni</w:t>
      </w:r>
      <w:r>
        <w:rPr>
          <w:rFonts w:hint="eastAsia" w:ascii="Times New Roman" w:hAnsi="Times New Roman" w:cs="Times New Roman"/>
          <w:snapToGrid w:val="0"/>
          <w:sz w:val="22"/>
        </w:rPr>
        <w:t>t</w:t>
      </w:r>
      <w:r>
        <w:rPr>
          <w:rFonts w:ascii="Times New Roman" w:hAnsi="Times New Roman" w:cs="Times New Roman"/>
          <w:snapToGrid w:val="0"/>
          <w:sz w:val="22"/>
        </w:rPr>
        <w:t>.cn</w:t>
      </w:r>
    </w:p>
    <w:p>
      <w:pPr>
        <w:spacing w:after="240"/>
        <w:ind w:left="1418"/>
        <w:jc w:val="left"/>
        <w:rPr>
          <w:rFonts w:ascii="Times New Roman" w:hAnsi="Times New Roman" w:cs="Times New Roman"/>
          <w:sz w:val="22"/>
        </w:rPr>
      </w:pPr>
      <w:r>
        <w:rPr>
          <w:rFonts w:hint="eastAsia" w:ascii="Times New Roman" w:hAnsi="Times New Roman" w:cs="Times New Roman"/>
          <w:sz w:val="22"/>
        </w:rPr>
        <w:t>说明：</w:t>
      </w:r>
      <w:r>
        <w:rPr>
          <w:rFonts w:hint="eastAsia" w:ascii="Times New Roman" w:hAnsi="Times New Roman" w:cs="Times New Roman"/>
          <w:b/>
          <w:sz w:val="22"/>
        </w:rPr>
        <w:t>姓名</w:t>
      </w:r>
      <w:r>
        <w:rPr>
          <w:rFonts w:hint="eastAsia" w:ascii="Times New Roman" w:hAnsi="Times New Roman" w:cs="Times New Roman"/>
          <w:sz w:val="22"/>
        </w:rPr>
        <w:t>（字号：1</w:t>
      </w:r>
      <w:r>
        <w:rPr>
          <w:rFonts w:ascii="Times New Roman" w:hAnsi="Times New Roman" w:cs="Times New Roman"/>
          <w:sz w:val="22"/>
        </w:rPr>
        <w:t>1</w:t>
      </w:r>
      <w:r>
        <w:rPr>
          <w:rFonts w:hint="eastAsia" w:ascii="Times New Roman" w:hAnsi="Times New Roman" w:cs="Times New Roman"/>
          <w:sz w:val="22"/>
        </w:rPr>
        <w:t>，左缩进：2</w:t>
      </w:r>
      <w:r>
        <w:rPr>
          <w:rFonts w:ascii="Times New Roman" w:hAnsi="Times New Roman" w:cs="Times New Roman"/>
          <w:sz w:val="22"/>
        </w:rPr>
        <w:t>.5</w:t>
      </w:r>
      <w:r>
        <w:rPr>
          <w:rFonts w:hint="eastAsia" w:ascii="Times New Roman" w:hAnsi="Times New Roman" w:cs="Times New Roman"/>
          <w:sz w:val="22"/>
        </w:rPr>
        <w:t>cm，段后：5</w:t>
      </w:r>
      <w:r>
        <w:rPr>
          <w:rFonts w:ascii="Times New Roman" w:hAnsi="Times New Roman" w:cs="Times New Roman"/>
          <w:sz w:val="22"/>
        </w:rPr>
        <w:t>.7</w:t>
      </w:r>
      <w:r>
        <w:rPr>
          <w:rFonts w:hint="eastAsia" w:ascii="Times New Roman" w:hAnsi="Times New Roman" w:cs="Times New Roman"/>
          <w:sz w:val="22"/>
        </w:rPr>
        <w:t>磅，加粗）：要求先名后姓，作者名词简写只需要保留名词的首字母大写，不需要其它任何符号，最后两位作者之间用“and”连接；</w:t>
      </w:r>
      <w:r>
        <w:rPr>
          <w:rFonts w:hint="eastAsia" w:ascii="Times New Roman" w:hAnsi="Times New Roman" w:cs="Times New Roman"/>
          <w:b/>
          <w:sz w:val="22"/>
        </w:rPr>
        <w:t>单位</w:t>
      </w:r>
      <w:r>
        <w:rPr>
          <w:rFonts w:hint="eastAsia" w:ascii="Times New Roman" w:hAnsi="Times New Roman" w:cs="Times New Roman"/>
          <w:sz w:val="22"/>
        </w:rPr>
        <w:t>（字号：1</w:t>
      </w:r>
      <w:r>
        <w:rPr>
          <w:rFonts w:ascii="Times New Roman" w:hAnsi="Times New Roman" w:cs="Times New Roman"/>
          <w:sz w:val="22"/>
        </w:rPr>
        <w:t>1</w:t>
      </w:r>
      <w:r>
        <w:rPr>
          <w:rFonts w:hint="eastAsia" w:ascii="Times New Roman" w:hAnsi="Times New Roman" w:cs="Times New Roman"/>
          <w:sz w:val="22"/>
        </w:rPr>
        <w:t>，左缩进：2</w:t>
      </w:r>
      <w:r>
        <w:rPr>
          <w:rFonts w:ascii="Times New Roman" w:hAnsi="Times New Roman" w:cs="Times New Roman"/>
          <w:sz w:val="22"/>
        </w:rPr>
        <w:t>.5</w:t>
      </w:r>
      <w:r>
        <w:rPr>
          <w:rFonts w:hint="eastAsia" w:ascii="Times New Roman" w:hAnsi="Times New Roman" w:cs="Times New Roman"/>
          <w:sz w:val="22"/>
        </w:rPr>
        <w:t>cm）：要求按照部门-单位-城市-省份-邮编-国籍的要求书写，多个单位用阿拉伯数字按顺序在左上角标注。</w:t>
      </w:r>
      <w:r>
        <w:rPr>
          <w:rFonts w:hint="eastAsia" w:ascii="Times New Roman" w:hAnsi="Times New Roman" w:cs="Times New Roman"/>
          <w:b/>
          <w:sz w:val="22"/>
        </w:rPr>
        <w:t>邮箱</w:t>
      </w:r>
      <w:r>
        <w:rPr>
          <w:rFonts w:hint="eastAsia" w:ascii="Times New Roman" w:hAnsi="Times New Roman" w:cs="Times New Roman"/>
          <w:sz w:val="22"/>
        </w:rPr>
        <w:t>（字号：1</w:t>
      </w:r>
      <w:r>
        <w:rPr>
          <w:rFonts w:ascii="Times New Roman" w:hAnsi="Times New Roman" w:cs="Times New Roman"/>
          <w:sz w:val="22"/>
        </w:rPr>
        <w:t>1</w:t>
      </w:r>
      <w:r>
        <w:rPr>
          <w:rFonts w:hint="eastAsia" w:ascii="Times New Roman" w:hAnsi="Times New Roman" w:cs="Times New Roman"/>
          <w:sz w:val="22"/>
        </w:rPr>
        <w:t>；左缩进：2</w:t>
      </w:r>
      <w:r>
        <w:rPr>
          <w:rFonts w:ascii="Times New Roman" w:hAnsi="Times New Roman" w:cs="Times New Roman"/>
          <w:sz w:val="22"/>
        </w:rPr>
        <w:t>.5</w:t>
      </w:r>
      <w:r>
        <w:rPr>
          <w:rFonts w:hint="eastAsia" w:ascii="Times New Roman" w:hAnsi="Times New Roman" w:cs="Times New Roman"/>
          <w:sz w:val="22"/>
        </w:rPr>
        <w:t>cm，段后：1</w:t>
      </w:r>
      <w:r>
        <w:rPr>
          <w:rFonts w:ascii="Times New Roman" w:hAnsi="Times New Roman" w:cs="Times New Roman"/>
          <w:sz w:val="22"/>
        </w:rPr>
        <w:t>2</w:t>
      </w:r>
      <w:r>
        <w:rPr>
          <w:rFonts w:hint="eastAsia" w:ascii="Times New Roman" w:hAnsi="Times New Roman" w:cs="Times New Roman"/>
          <w:sz w:val="22"/>
        </w:rPr>
        <w:t>磅）：只允许填写通讯作者的邮箱，建议提供机构邮箱而非个人邮箱。</w:t>
      </w:r>
    </w:p>
    <w:p>
      <w:pPr>
        <w:spacing w:after="568"/>
        <w:ind w:left="1418"/>
        <w:rPr>
          <w:rFonts w:ascii="Times" w:hAnsi="Times" w:cs="Times"/>
          <w:b/>
          <w:bCs/>
          <w:sz w:val="20"/>
          <w:szCs w:val="20"/>
        </w:rPr>
      </w:pPr>
      <w:r>
        <w:rPr>
          <w:rFonts w:ascii="Times" w:hAnsi="Times" w:cs="Times"/>
          <w:b/>
          <w:bCs/>
          <w:sz w:val="20"/>
          <w:szCs w:val="20"/>
        </w:rPr>
        <w:t>摘要：</w:t>
      </w:r>
      <w:r>
        <w:rPr>
          <w:rFonts w:hint="eastAsia" w:ascii="Times" w:hAnsi="Times" w:cs="Times"/>
          <w:bCs/>
          <w:sz w:val="20"/>
          <w:szCs w:val="20"/>
        </w:rPr>
        <w:t>所有文章都必须包含摘要，摘要字号为1</w:t>
      </w:r>
      <w:r>
        <w:rPr>
          <w:rFonts w:ascii="Times" w:hAnsi="Times" w:cs="Times"/>
          <w:bCs/>
          <w:sz w:val="20"/>
          <w:szCs w:val="20"/>
        </w:rPr>
        <w:t>0</w:t>
      </w:r>
      <w:r>
        <w:rPr>
          <w:rFonts w:hint="eastAsia" w:ascii="Times" w:hAnsi="Times" w:cs="Times"/>
          <w:bCs/>
          <w:sz w:val="20"/>
          <w:szCs w:val="20"/>
        </w:rPr>
        <w:t>，左缩进2</w:t>
      </w:r>
      <w:r>
        <w:rPr>
          <w:rFonts w:ascii="Times" w:hAnsi="Times" w:cs="Times"/>
          <w:bCs/>
          <w:sz w:val="20"/>
          <w:szCs w:val="20"/>
        </w:rPr>
        <w:t>.5</w:t>
      </w:r>
      <w:r>
        <w:rPr>
          <w:rFonts w:hint="eastAsia" w:ascii="Times" w:hAnsi="Times" w:cs="Times"/>
          <w:bCs/>
          <w:sz w:val="20"/>
          <w:szCs w:val="20"/>
        </w:rPr>
        <w:t>cm，段后2</w:t>
      </w:r>
      <w:r>
        <w:rPr>
          <w:rFonts w:ascii="Times" w:hAnsi="Times" w:cs="Times"/>
          <w:bCs/>
          <w:sz w:val="20"/>
          <w:szCs w:val="20"/>
        </w:rPr>
        <w:t>8.4</w:t>
      </w:r>
      <w:r>
        <w:rPr>
          <w:rFonts w:hint="eastAsia" w:ascii="Times" w:hAnsi="Times" w:cs="Times"/>
          <w:bCs/>
          <w:sz w:val="20"/>
          <w:szCs w:val="20"/>
        </w:rPr>
        <w:t>磅，每句话首单词的首字母大学，除（专有名词）其余均小写。摘要应该为读者提供有关文章内容的简明信息（一般不超过2</w:t>
      </w:r>
      <w:r>
        <w:rPr>
          <w:rFonts w:ascii="Times" w:hAnsi="Times" w:cs="Times"/>
          <w:bCs/>
          <w:sz w:val="20"/>
          <w:szCs w:val="20"/>
        </w:rPr>
        <w:t>00</w:t>
      </w:r>
      <w:r>
        <w:rPr>
          <w:rFonts w:hint="eastAsia" w:ascii="Times" w:hAnsi="Times" w:cs="Times"/>
          <w:bCs/>
          <w:sz w:val="20"/>
          <w:szCs w:val="20"/>
        </w:rPr>
        <w:t>字符），并说明所取得的主要结果和结论。摘要不是正文的一部分，本身应该完整；摘要中不包含表格、图片、参考文献或者公式。注意，摘要下方不需要关键词，如果提交至J</w:t>
      </w:r>
      <w:r>
        <w:rPr>
          <w:rFonts w:ascii="Times" w:hAnsi="Times" w:cs="Times"/>
          <w:bCs/>
          <w:sz w:val="20"/>
          <w:szCs w:val="20"/>
        </w:rPr>
        <w:t>PCS</w:t>
      </w:r>
      <w:r>
        <w:rPr>
          <w:rFonts w:hint="eastAsia" w:ascii="Times" w:hAnsi="Times" w:cs="Times"/>
          <w:bCs/>
          <w:sz w:val="20"/>
          <w:szCs w:val="20"/>
        </w:rPr>
        <w:t>出版，关键词将会默认被移除。</w:t>
      </w:r>
    </w:p>
    <w:p>
      <w:pPr>
        <w:spacing w:before="240"/>
        <w:rPr>
          <w:rFonts w:ascii="Times" w:hAnsi="Times" w:cs="Times"/>
          <w:b/>
          <w:bCs/>
          <w:sz w:val="22"/>
        </w:rPr>
      </w:pPr>
      <w:r>
        <w:rPr>
          <w:rFonts w:ascii="Times" w:hAnsi="Times" w:cs="Times"/>
          <w:b/>
          <w:bCs/>
          <w:sz w:val="22"/>
        </w:rPr>
        <w:t>1.</w:t>
      </w:r>
      <w:r>
        <w:rPr>
          <w:rFonts w:hint="eastAsia" w:ascii="Times" w:hAnsi="Times" w:cs="Times"/>
          <w:b/>
          <w:bCs/>
          <w:sz w:val="22"/>
        </w:rPr>
        <w:t>一级标题文本格式之一</w:t>
      </w:r>
    </w:p>
    <w:p>
      <w:pPr>
        <w:rPr>
          <w:rFonts w:ascii="Times" w:hAnsi="Times" w:cs="Times"/>
          <w:sz w:val="22"/>
        </w:rPr>
      </w:pPr>
      <w:r>
        <w:rPr>
          <w:rFonts w:hint="eastAsia" w:ascii="Times" w:hAnsi="Times" w:cs="Times"/>
          <w:sz w:val="22"/>
        </w:rPr>
        <w:t>一级标题字号1</w:t>
      </w:r>
      <w:r>
        <w:rPr>
          <w:rFonts w:ascii="Times" w:hAnsi="Times" w:cs="Times"/>
          <w:sz w:val="22"/>
        </w:rPr>
        <w:t>1</w:t>
      </w:r>
      <w:r>
        <w:rPr>
          <w:rFonts w:hint="eastAsia" w:ascii="Times" w:hAnsi="Times" w:cs="Times"/>
          <w:sz w:val="22"/>
        </w:rPr>
        <w:t>，段前1</w:t>
      </w:r>
      <w:r>
        <w:rPr>
          <w:rFonts w:ascii="Times" w:hAnsi="Times" w:cs="Times"/>
          <w:sz w:val="22"/>
        </w:rPr>
        <w:t>2</w:t>
      </w:r>
      <w:r>
        <w:rPr>
          <w:rFonts w:hint="eastAsia" w:ascii="Times" w:hAnsi="Times" w:cs="Times"/>
          <w:sz w:val="22"/>
        </w:rPr>
        <w:t>磅，</w:t>
      </w:r>
      <w:r>
        <w:rPr>
          <w:rFonts w:hint="eastAsia" w:ascii="Times" w:hAnsi="Times" w:cs="Times"/>
          <w:color w:val="FF0000"/>
          <w:sz w:val="22"/>
        </w:rPr>
        <w:t>加粗</w:t>
      </w:r>
      <w:r>
        <w:rPr>
          <w:rFonts w:hint="eastAsia" w:ascii="Times" w:hAnsi="Times" w:cs="Times"/>
          <w:sz w:val="22"/>
        </w:rPr>
        <w:t>，首单词的首字母大写，</w:t>
      </w:r>
      <w:r>
        <w:rPr>
          <w:rFonts w:hint="eastAsia" w:ascii="Times" w:hAnsi="Times" w:cs="Times"/>
          <w:bCs/>
          <w:sz w:val="20"/>
          <w:szCs w:val="20"/>
        </w:rPr>
        <w:t>除（专有名词）其余均小写</w:t>
      </w:r>
      <w:r>
        <w:rPr>
          <w:rFonts w:hint="eastAsia" w:ascii="Times" w:hAnsi="Times" w:cs="Times"/>
          <w:sz w:val="22"/>
        </w:rPr>
        <w:t>。第一段正文无缩进，第二段开始首行缩进0</w:t>
      </w:r>
      <w:r>
        <w:rPr>
          <w:rFonts w:ascii="Times" w:hAnsi="Times" w:cs="Times"/>
          <w:sz w:val="22"/>
        </w:rPr>
        <w:t>.5</w:t>
      </w:r>
      <w:r>
        <w:rPr>
          <w:rFonts w:hint="eastAsia" w:ascii="Times" w:hAnsi="Times" w:cs="Times"/>
          <w:sz w:val="22"/>
        </w:rPr>
        <w:t>cm，正文每句话中首单词的首字母大写，</w:t>
      </w:r>
      <w:r>
        <w:rPr>
          <w:rFonts w:hint="eastAsia" w:ascii="Times" w:hAnsi="Times" w:cs="Times"/>
          <w:bCs/>
          <w:sz w:val="20"/>
          <w:szCs w:val="20"/>
        </w:rPr>
        <w:t>除（专有名词）其余均小写</w:t>
      </w:r>
      <w:r>
        <w:rPr>
          <w:rFonts w:hint="eastAsia" w:ascii="Times" w:hAnsi="Times" w:cs="Times"/>
          <w:sz w:val="22"/>
        </w:rPr>
        <w:t>，正文字号均为1</w:t>
      </w:r>
      <w:r>
        <w:rPr>
          <w:rFonts w:ascii="Times" w:hAnsi="Times" w:cs="Times"/>
          <w:sz w:val="22"/>
        </w:rPr>
        <w:t>1</w:t>
      </w:r>
      <w:r>
        <w:rPr>
          <w:rFonts w:hint="eastAsia" w:ascii="Times" w:hAnsi="Times" w:cs="Times"/>
          <w:sz w:val="22"/>
        </w:rPr>
        <w:t>。</w:t>
      </w:r>
    </w:p>
    <w:p>
      <w:pPr>
        <w:spacing w:before="240"/>
        <w:rPr>
          <w:rFonts w:ascii="Times" w:hAnsi="Times" w:cs="Times"/>
          <w:b/>
          <w:bCs/>
          <w:sz w:val="22"/>
        </w:rPr>
      </w:pPr>
      <w:r>
        <w:rPr>
          <w:rFonts w:ascii="Times" w:hAnsi="Times" w:cs="Times"/>
          <w:b/>
          <w:bCs/>
          <w:sz w:val="22"/>
        </w:rPr>
        <w:t xml:space="preserve">2. </w:t>
      </w:r>
      <w:r>
        <w:rPr>
          <w:rFonts w:hint="eastAsia" w:ascii="Times" w:hAnsi="Times" w:cs="Times"/>
          <w:b/>
          <w:bCs/>
          <w:sz w:val="22"/>
        </w:rPr>
        <w:t>一级标题文本格式之二</w:t>
      </w:r>
    </w:p>
    <w:p>
      <w:pPr>
        <w:rPr>
          <w:rFonts w:ascii="Times" w:hAnsi="Times" w:cs="Times"/>
          <w:sz w:val="22"/>
        </w:rPr>
      </w:pPr>
      <w:r>
        <w:rPr>
          <w:rFonts w:hint="eastAsia" w:ascii="Times" w:hAnsi="Times" w:cs="Times"/>
          <w:sz w:val="22"/>
        </w:rPr>
        <w:t>一级标题字号1</w:t>
      </w:r>
      <w:r>
        <w:rPr>
          <w:rFonts w:ascii="Times" w:hAnsi="Times" w:cs="Times"/>
          <w:sz w:val="22"/>
        </w:rPr>
        <w:t>1</w:t>
      </w:r>
      <w:r>
        <w:rPr>
          <w:rFonts w:hint="eastAsia" w:ascii="Times" w:hAnsi="Times" w:cs="Times"/>
          <w:sz w:val="22"/>
        </w:rPr>
        <w:t>，段前1</w:t>
      </w:r>
      <w:r>
        <w:rPr>
          <w:rFonts w:ascii="Times" w:hAnsi="Times" w:cs="Times"/>
          <w:sz w:val="22"/>
        </w:rPr>
        <w:t>2</w:t>
      </w:r>
      <w:r>
        <w:rPr>
          <w:rFonts w:hint="eastAsia" w:ascii="Times" w:hAnsi="Times" w:cs="Times"/>
          <w:sz w:val="22"/>
        </w:rPr>
        <w:t>磅，</w:t>
      </w:r>
      <w:r>
        <w:rPr>
          <w:rFonts w:hint="eastAsia" w:ascii="Times" w:hAnsi="Times" w:cs="Times"/>
          <w:color w:val="FF0000"/>
          <w:sz w:val="22"/>
        </w:rPr>
        <w:t>加粗</w:t>
      </w:r>
      <w:r>
        <w:rPr>
          <w:rFonts w:hint="eastAsia" w:ascii="Times" w:hAnsi="Times" w:cs="Times"/>
          <w:sz w:val="22"/>
        </w:rPr>
        <w:t>，首单词的首字母大写，</w:t>
      </w:r>
      <w:r>
        <w:rPr>
          <w:rFonts w:hint="eastAsia" w:ascii="Times" w:hAnsi="Times" w:cs="Times"/>
          <w:bCs/>
          <w:sz w:val="20"/>
          <w:szCs w:val="20"/>
        </w:rPr>
        <w:t>除（专有名词）其余均小写</w:t>
      </w:r>
      <w:r>
        <w:rPr>
          <w:rFonts w:hint="eastAsia" w:ascii="Times" w:hAnsi="Times" w:cs="Times"/>
          <w:sz w:val="22"/>
        </w:rPr>
        <w:t>。第一段正文无缩进，第二段开始首行缩进0</w:t>
      </w:r>
      <w:r>
        <w:rPr>
          <w:rFonts w:ascii="Times" w:hAnsi="Times" w:cs="Times"/>
          <w:sz w:val="22"/>
        </w:rPr>
        <w:t>.5</w:t>
      </w:r>
      <w:r>
        <w:rPr>
          <w:rFonts w:hint="eastAsia" w:ascii="Times" w:hAnsi="Times" w:cs="Times"/>
          <w:sz w:val="22"/>
        </w:rPr>
        <w:t>cm，正文每句话中首单词的首字母大写，</w:t>
      </w:r>
      <w:r>
        <w:rPr>
          <w:rFonts w:hint="eastAsia" w:ascii="Times" w:hAnsi="Times" w:cs="Times"/>
          <w:bCs/>
          <w:sz w:val="20"/>
          <w:szCs w:val="20"/>
        </w:rPr>
        <w:t>除（专有名词）其余均小写</w:t>
      </w:r>
      <w:r>
        <w:rPr>
          <w:rFonts w:hint="eastAsia" w:ascii="Times" w:hAnsi="Times" w:cs="Times"/>
          <w:sz w:val="22"/>
        </w:rPr>
        <w:t>，正文字号均为1</w:t>
      </w:r>
      <w:r>
        <w:rPr>
          <w:rFonts w:ascii="Times" w:hAnsi="Times" w:cs="Times"/>
          <w:sz w:val="22"/>
        </w:rPr>
        <w:t>1</w:t>
      </w:r>
      <w:r>
        <w:rPr>
          <w:rFonts w:hint="eastAsia" w:ascii="Times" w:hAnsi="Times" w:cs="Times"/>
          <w:sz w:val="22"/>
        </w:rPr>
        <w:t>。</w:t>
      </w:r>
    </w:p>
    <w:p>
      <w:pPr>
        <w:rPr>
          <w:rFonts w:ascii="Times" w:hAnsi="Times" w:cs="Times"/>
          <w:sz w:val="22"/>
        </w:rPr>
      </w:pPr>
    </w:p>
    <w:p>
      <w:pPr>
        <w:ind w:firstLine="284"/>
        <w:rPr>
          <w:rFonts w:ascii="Times" w:hAnsi="Times" w:cs="Times"/>
          <w:sz w:val="22"/>
        </w:rPr>
      </w:pPr>
      <w:r>
        <w:rPr>
          <w:rFonts w:hint="eastAsia" w:ascii="Times" w:hAnsi="Times" w:cs="Times"/>
          <w:sz w:val="22"/>
        </w:rPr>
        <w:t>一级标题字号1</w:t>
      </w:r>
      <w:r>
        <w:rPr>
          <w:rFonts w:ascii="Times" w:hAnsi="Times" w:cs="Times"/>
          <w:sz w:val="22"/>
        </w:rPr>
        <w:t>1</w:t>
      </w:r>
      <w:r>
        <w:rPr>
          <w:rFonts w:hint="eastAsia" w:ascii="Times" w:hAnsi="Times" w:cs="Times"/>
          <w:sz w:val="22"/>
        </w:rPr>
        <w:t>，段前1</w:t>
      </w:r>
      <w:r>
        <w:rPr>
          <w:rFonts w:ascii="Times" w:hAnsi="Times" w:cs="Times"/>
          <w:sz w:val="22"/>
        </w:rPr>
        <w:t>2</w:t>
      </w:r>
      <w:r>
        <w:rPr>
          <w:rFonts w:hint="eastAsia" w:ascii="Times" w:hAnsi="Times" w:cs="Times"/>
          <w:sz w:val="22"/>
        </w:rPr>
        <w:t>磅，</w:t>
      </w:r>
      <w:r>
        <w:rPr>
          <w:rFonts w:hint="eastAsia" w:ascii="Times" w:hAnsi="Times" w:cs="Times"/>
          <w:color w:val="FF0000"/>
          <w:sz w:val="22"/>
        </w:rPr>
        <w:t>加粗</w:t>
      </w:r>
      <w:r>
        <w:rPr>
          <w:rFonts w:hint="eastAsia" w:ascii="Times" w:hAnsi="Times" w:cs="Times"/>
          <w:sz w:val="22"/>
        </w:rPr>
        <w:t>，首单词的首字母大写，</w:t>
      </w:r>
      <w:r>
        <w:rPr>
          <w:rFonts w:hint="eastAsia" w:ascii="Times" w:hAnsi="Times" w:cs="Times"/>
          <w:bCs/>
          <w:sz w:val="20"/>
          <w:szCs w:val="20"/>
        </w:rPr>
        <w:t>除（专有名词）其余均小写</w:t>
      </w:r>
      <w:r>
        <w:rPr>
          <w:rFonts w:hint="eastAsia" w:ascii="Times" w:hAnsi="Times" w:cs="Times"/>
          <w:sz w:val="22"/>
        </w:rPr>
        <w:t>。第一段正文无缩进，第二段开始首行缩进0</w:t>
      </w:r>
      <w:r>
        <w:rPr>
          <w:rFonts w:ascii="Times" w:hAnsi="Times" w:cs="Times"/>
          <w:sz w:val="22"/>
        </w:rPr>
        <w:t>.5</w:t>
      </w:r>
      <w:r>
        <w:rPr>
          <w:rFonts w:hint="eastAsia" w:ascii="Times" w:hAnsi="Times" w:cs="Times"/>
          <w:sz w:val="22"/>
        </w:rPr>
        <w:t>cm，正文每句话中首单词的首字母大写，</w:t>
      </w:r>
      <w:r>
        <w:rPr>
          <w:rFonts w:hint="eastAsia" w:ascii="Times" w:hAnsi="Times" w:cs="Times"/>
          <w:bCs/>
          <w:sz w:val="20"/>
          <w:szCs w:val="20"/>
        </w:rPr>
        <w:t>除（专有名词）其余均小写</w:t>
      </w:r>
      <w:r>
        <w:rPr>
          <w:rFonts w:hint="eastAsia" w:ascii="Times" w:hAnsi="Times" w:cs="Times"/>
          <w:sz w:val="22"/>
        </w:rPr>
        <w:t>，正文字号均为1</w:t>
      </w:r>
      <w:r>
        <w:rPr>
          <w:rFonts w:ascii="Times" w:hAnsi="Times" w:cs="Times"/>
          <w:sz w:val="22"/>
        </w:rPr>
        <w:t>1</w:t>
      </w:r>
      <w:r>
        <w:rPr>
          <w:rFonts w:hint="eastAsia" w:ascii="Times" w:hAnsi="Times" w:cs="Times"/>
          <w:sz w:val="22"/>
        </w:rPr>
        <w:t>。</w:t>
      </w:r>
    </w:p>
    <w:p>
      <w:pPr>
        <w:spacing w:before="240"/>
        <w:rPr>
          <w:rFonts w:ascii="Times" w:hAnsi="Times" w:cs="Times"/>
          <w:i/>
          <w:iCs/>
          <w:sz w:val="22"/>
        </w:rPr>
      </w:pPr>
      <w:r>
        <w:rPr>
          <w:rFonts w:ascii="Times" w:hAnsi="Times" w:cs="Times"/>
          <w:i/>
          <w:iCs/>
          <w:sz w:val="22"/>
        </w:rPr>
        <w:t xml:space="preserve">2.1. </w:t>
      </w:r>
      <w:r>
        <w:rPr>
          <w:rFonts w:hint="eastAsia" w:ascii="Times" w:hAnsi="Times" w:cs="Times"/>
          <w:i/>
          <w:iCs/>
          <w:sz w:val="22"/>
        </w:rPr>
        <w:t>二级标题文本格式之一</w:t>
      </w:r>
    </w:p>
    <w:p>
      <w:pPr>
        <w:rPr>
          <w:rFonts w:ascii="Times" w:hAnsi="Times" w:cs="Times"/>
          <w:sz w:val="22"/>
        </w:rPr>
      </w:pPr>
      <w:r>
        <w:rPr>
          <w:rFonts w:hint="eastAsia" w:ascii="Times" w:hAnsi="Times" w:cs="Times"/>
          <w:sz w:val="22"/>
        </w:rPr>
        <w:t>二级标题字号1</w:t>
      </w:r>
      <w:r>
        <w:rPr>
          <w:rFonts w:ascii="Times" w:hAnsi="Times" w:cs="Times"/>
          <w:sz w:val="22"/>
        </w:rPr>
        <w:t>1</w:t>
      </w:r>
      <w:r>
        <w:rPr>
          <w:rFonts w:hint="eastAsia" w:ascii="Times" w:hAnsi="Times" w:cs="Times"/>
          <w:sz w:val="22"/>
        </w:rPr>
        <w:t>，段前1</w:t>
      </w:r>
      <w:r>
        <w:rPr>
          <w:rFonts w:ascii="Times" w:hAnsi="Times" w:cs="Times"/>
          <w:sz w:val="22"/>
        </w:rPr>
        <w:t>2</w:t>
      </w:r>
      <w:r>
        <w:rPr>
          <w:rFonts w:hint="eastAsia" w:ascii="Times" w:hAnsi="Times" w:cs="Times"/>
          <w:sz w:val="22"/>
        </w:rPr>
        <w:t>磅，</w:t>
      </w:r>
      <w:r>
        <w:rPr>
          <w:rFonts w:hint="eastAsia" w:ascii="Times" w:hAnsi="Times" w:cs="Times"/>
          <w:color w:val="FF0000"/>
          <w:sz w:val="22"/>
        </w:rPr>
        <w:t>斜体</w:t>
      </w:r>
      <w:r>
        <w:rPr>
          <w:rFonts w:hint="eastAsia" w:ascii="Times" w:hAnsi="Times" w:cs="Times"/>
          <w:sz w:val="22"/>
        </w:rPr>
        <w:t>，首单词的首字母大写，</w:t>
      </w:r>
      <w:r>
        <w:rPr>
          <w:rFonts w:hint="eastAsia" w:ascii="Times" w:hAnsi="Times" w:cs="Times"/>
          <w:bCs/>
          <w:sz w:val="20"/>
          <w:szCs w:val="20"/>
        </w:rPr>
        <w:t>除（专有名词）其余均小写</w:t>
      </w:r>
      <w:r>
        <w:rPr>
          <w:rFonts w:hint="eastAsia" w:ascii="Times" w:hAnsi="Times" w:cs="Times"/>
          <w:sz w:val="22"/>
        </w:rPr>
        <w:t>。第一段正文无缩进，第二段开始首行缩进0</w:t>
      </w:r>
      <w:r>
        <w:rPr>
          <w:rFonts w:ascii="Times" w:hAnsi="Times" w:cs="Times"/>
          <w:sz w:val="22"/>
        </w:rPr>
        <w:t>.5</w:t>
      </w:r>
      <w:r>
        <w:rPr>
          <w:rFonts w:hint="eastAsia" w:ascii="Times" w:hAnsi="Times" w:cs="Times"/>
          <w:sz w:val="22"/>
        </w:rPr>
        <w:t>cm，正文每句话中首单词的首字母大写，</w:t>
      </w:r>
      <w:r>
        <w:rPr>
          <w:rFonts w:hint="eastAsia" w:ascii="Times" w:hAnsi="Times" w:cs="Times"/>
          <w:bCs/>
          <w:sz w:val="20"/>
          <w:szCs w:val="20"/>
        </w:rPr>
        <w:t>除（专有名词）其余均小写</w:t>
      </w:r>
      <w:r>
        <w:rPr>
          <w:rFonts w:hint="eastAsia" w:ascii="Times" w:hAnsi="Times" w:cs="Times"/>
          <w:sz w:val="22"/>
        </w:rPr>
        <w:t>，正文字号均为1</w:t>
      </w:r>
      <w:r>
        <w:rPr>
          <w:rFonts w:ascii="Times" w:hAnsi="Times" w:cs="Times"/>
          <w:sz w:val="22"/>
        </w:rPr>
        <w:t>1</w:t>
      </w:r>
      <w:r>
        <w:rPr>
          <w:rFonts w:hint="eastAsia" w:ascii="Times" w:hAnsi="Times" w:cs="Times"/>
          <w:sz w:val="22"/>
        </w:rPr>
        <w:t>。</w:t>
      </w:r>
    </w:p>
    <w:p>
      <w:pPr>
        <w:ind w:firstLine="284"/>
        <w:rPr>
          <w:rFonts w:ascii="Times" w:hAnsi="Times" w:cs="Times"/>
          <w:sz w:val="22"/>
        </w:rPr>
      </w:pPr>
      <w:r>
        <w:rPr>
          <w:rFonts w:hint="eastAsia" w:ascii="Times" w:hAnsi="Times" w:cs="Times"/>
          <w:sz w:val="22"/>
        </w:rPr>
        <w:t>二级标题字号1</w:t>
      </w:r>
      <w:r>
        <w:rPr>
          <w:rFonts w:ascii="Times" w:hAnsi="Times" w:cs="Times"/>
          <w:sz w:val="22"/>
        </w:rPr>
        <w:t>1</w:t>
      </w:r>
      <w:r>
        <w:rPr>
          <w:rFonts w:hint="eastAsia" w:ascii="Times" w:hAnsi="Times" w:cs="Times"/>
          <w:sz w:val="22"/>
        </w:rPr>
        <w:t>，段前1</w:t>
      </w:r>
      <w:r>
        <w:rPr>
          <w:rFonts w:ascii="Times" w:hAnsi="Times" w:cs="Times"/>
          <w:sz w:val="22"/>
        </w:rPr>
        <w:t>2</w:t>
      </w:r>
      <w:r>
        <w:rPr>
          <w:rFonts w:hint="eastAsia" w:ascii="Times" w:hAnsi="Times" w:cs="Times"/>
          <w:sz w:val="22"/>
        </w:rPr>
        <w:t>磅，</w:t>
      </w:r>
      <w:r>
        <w:rPr>
          <w:rFonts w:hint="eastAsia" w:ascii="Times" w:hAnsi="Times" w:cs="Times"/>
          <w:color w:val="FF0000"/>
          <w:sz w:val="22"/>
        </w:rPr>
        <w:t>斜体</w:t>
      </w:r>
      <w:r>
        <w:rPr>
          <w:rFonts w:hint="eastAsia" w:ascii="Times" w:hAnsi="Times" w:cs="Times"/>
          <w:sz w:val="22"/>
        </w:rPr>
        <w:t>，首单词的首字母大写，</w:t>
      </w:r>
      <w:r>
        <w:rPr>
          <w:rFonts w:hint="eastAsia" w:ascii="Times" w:hAnsi="Times" w:cs="Times"/>
          <w:bCs/>
          <w:sz w:val="20"/>
          <w:szCs w:val="20"/>
        </w:rPr>
        <w:t>除（专有名词）其余均小写</w:t>
      </w:r>
      <w:r>
        <w:rPr>
          <w:rFonts w:hint="eastAsia" w:ascii="Times" w:hAnsi="Times" w:cs="Times"/>
          <w:sz w:val="22"/>
        </w:rPr>
        <w:t>。第一段正文无缩进，第二段开始首行缩进0</w:t>
      </w:r>
      <w:r>
        <w:rPr>
          <w:rFonts w:ascii="Times" w:hAnsi="Times" w:cs="Times"/>
          <w:sz w:val="22"/>
        </w:rPr>
        <w:t>.5</w:t>
      </w:r>
      <w:r>
        <w:rPr>
          <w:rFonts w:hint="eastAsia" w:ascii="Times" w:hAnsi="Times" w:cs="Times"/>
          <w:sz w:val="22"/>
        </w:rPr>
        <w:t>cm，正文每句话中首单词的首字母大写，</w:t>
      </w:r>
      <w:r>
        <w:rPr>
          <w:rFonts w:hint="eastAsia" w:ascii="Times" w:hAnsi="Times" w:cs="Times"/>
          <w:bCs/>
          <w:sz w:val="20"/>
          <w:szCs w:val="20"/>
        </w:rPr>
        <w:t>除（专有名词）其余均小写</w:t>
      </w:r>
      <w:r>
        <w:rPr>
          <w:rFonts w:hint="eastAsia" w:ascii="Times" w:hAnsi="Times" w:cs="Times"/>
          <w:sz w:val="22"/>
        </w:rPr>
        <w:t>，正文字号均为1</w:t>
      </w:r>
      <w:r>
        <w:rPr>
          <w:rFonts w:ascii="Times" w:hAnsi="Times" w:cs="Times"/>
          <w:sz w:val="22"/>
        </w:rPr>
        <w:t>1</w:t>
      </w:r>
      <w:r>
        <w:rPr>
          <w:rFonts w:hint="eastAsia" w:ascii="Times" w:hAnsi="Times" w:cs="Times"/>
          <w:sz w:val="22"/>
        </w:rPr>
        <w:t>。</w:t>
      </w:r>
    </w:p>
    <w:p>
      <w:pPr>
        <w:spacing w:before="240"/>
        <w:rPr>
          <w:rFonts w:ascii="Times" w:hAnsi="Times" w:cs="Times"/>
          <w:color w:val="FF0000"/>
          <w:sz w:val="22"/>
        </w:rPr>
      </w:pPr>
      <w:r>
        <w:rPr>
          <w:rFonts w:ascii="Times" w:hAnsi="Times" w:cs="Times"/>
          <w:i/>
          <w:iCs/>
          <w:sz w:val="22"/>
        </w:rPr>
        <w:t>2.1.1，</w:t>
      </w:r>
      <w:r>
        <w:rPr>
          <w:rFonts w:hint="eastAsia" w:ascii="Times" w:hAnsi="Times" w:cs="Times"/>
          <w:i/>
          <w:iCs/>
          <w:sz w:val="22"/>
        </w:rPr>
        <w:t>三级标题文本格式之一。三</w:t>
      </w:r>
      <w:r>
        <w:rPr>
          <w:rFonts w:hint="eastAsia" w:ascii="Times" w:hAnsi="Times" w:cs="Times"/>
          <w:sz w:val="22"/>
        </w:rPr>
        <w:t>级标题字号1</w:t>
      </w:r>
      <w:r>
        <w:rPr>
          <w:rFonts w:ascii="Times" w:hAnsi="Times" w:cs="Times"/>
          <w:sz w:val="22"/>
        </w:rPr>
        <w:t>1</w:t>
      </w:r>
      <w:r>
        <w:rPr>
          <w:rFonts w:hint="eastAsia" w:ascii="Times" w:hAnsi="Times" w:cs="Times"/>
          <w:sz w:val="22"/>
        </w:rPr>
        <w:t>，段前1</w:t>
      </w:r>
      <w:r>
        <w:rPr>
          <w:rFonts w:ascii="Times" w:hAnsi="Times" w:cs="Times"/>
          <w:sz w:val="22"/>
        </w:rPr>
        <w:t>2</w:t>
      </w:r>
      <w:r>
        <w:rPr>
          <w:rFonts w:hint="eastAsia" w:ascii="Times" w:hAnsi="Times" w:cs="Times"/>
          <w:sz w:val="22"/>
        </w:rPr>
        <w:t>磅，</w:t>
      </w:r>
      <w:r>
        <w:rPr>
          <w:rFonts w:hint="eastAsia" w:ascii="Times" w:hAnsi="Times" w:cs="Times"/>
          <w:color w:val="FF0000"/>
          <w:sz w:val="22"/>
        </w:rPr>
        <w:t>斜体</w:t>
      </w:r>
      <w:r>
        <w:rPr>
          <w:rFonts w:hint="eastAsia" w:ascii="Times" w:hAnsi="Times" w:cs="Times"/>
          <w:sz w:val="22"/>
        </w:rPr>
        <w:t>，首单词的首字母大写，</w:t>
      </w:r>
      <w:r>
        <w:rPr>
          <w:rFonts w:hint="eastAsia" w:ascii="Times" w:hAnsi="Times" w:cs="Times"/>
          <w:bCs/>
          <w:sz w:val="20"/>
          <w:szCs w:val="20"/>
        </w:rPr>
        <w:t>除（专有名词）其余均小写</w:t>
      </w:r>
      <w:r>
        <w:rPr>
          <w:rFonts w:hint="eastAsia" w:ascii="Times" w:hAnsi="Times" w:cs="Times"/>
          <w:sz w:val="22"/>
        </w:rPr>
        <w:t>。</w:t>
      </w:r>
      <w:r>
        <w:rPr>
          <w:rFonts w:ascii="Times New Roman" w:hAnsi="Times New Roman" w:cs="Times New Roman"/>
          <w:color w:val="FF0000"/>
          <w:sz w:val="22"/>
        </w:rPr>
        <w:t>三级标题</w:t>
      </w:r>
      <w:r>
        <w:rPr>
          <w:rFonts w:hint="eastAsia" w:ascii="Times New Roman" w:hAnsi="Times New Roman" w:cs="Times New Roman"/>
          <w:color w:val="FF0000"/>
          <w:sz w:val="22"/>
        </w:rPr>
        <w:t>下</w:t>
      </w:r>
      <w:r>
        <w:rPr>
          <w:rFonts w:ascii="Times New Roman" w:hAnsi="Times New Roman" w:cs="Times New Roman"/>
          <w:color w:val="FF0000"/>
          <w:sz w:val="22"/>
        </w:rPr>
        <w:t>的正文首段文本紧接在三级标题后，内容不用斜体，用句号隔开</w:t>
      </w:r>
      <w:r>
        <w:rPr>
          <w:rFonts w:hint="eastAsia" w:ascii="Times New Roman" w:hAnsi="Times New Roman" w:cs="Times New Roman"/>
          <w:color w:val="FF0000"/>
          <w:sz w:val="22"/>
        </w:rPr>
        <w:t>。</w:t>
      </w:r>
      <w:r>
        <w:rPr>
          <w:rFonts w:hint="eastAsia" w:ascii="Times" w:hAnsi="Times" w:cs="Times"/>
          <w:sz w:val="22"/>
        </w:rPr>
        <w:t>第一段正文无缩进，第二段开始首行缩进0</w:t>
      </w:r>
      <w:r>
        <w:rPr>
          <w:rFonts w:ascii="Times" w:hAnsi="Times" w:cs="Times"/>
          <w:sz w:val="22"/>
        </w:rPr>
        <w:t>.5</w:t>
      </w:r>
      <w:r>
        <w:rPr>
          <w:rFonts w:hint="eastAsia" w:ascii="Times" w:hAnsi="Times" w:cs="Times"/>
          <w:sz w:val="22"/>
        </w:rPr>
        <w:t>cm，正文每句话中首单词的首字母大写，</w:t>
      </w:r>
      <w:r>
        <w:rPr>
          <w:rFonts w:hint="eastAsia" w:ascii="Times" w:hAnsi="Times" w:cs="Times"/>
          <w:bCs/>
          <w:sz w:val="20"/>
          <w:szCs w:val="20"/>
        </w:rPr>
        <w:t>除（专有名词）其余均小写</w:t>
      </w:r>
      <w:r>
        <w:rPr>
          <w:rFonts w:hint="eastAsia" w:ascii="Times" w:hAnsi="Times" w:cs="Times"/>
          <w:sz w:val="22"/>
        </w:rPr>
        <w:t>，正文字号均为1</w:t>
      </w:r>
      <w:r>
        <w:rPr>
          <w:rFonts w:ascii="Times" w:hAnsi="Times" w:cs="Times"/>
          <w:sz w:val="22"/>
        </w:rPr>
        <w:t>1</w:t>
      </w:r>
      <w:r>
        <w:rPr>
          <w:rFonts w:hint="eastAsia" w:ascii="Times" w:hAnsi="Times" w:cs="Times"/>
          <w:sz w:val="22"/>
        </w:rPr>
        <w:t>。</w:t>
      </w:r>
    </w:p>
    <w:p>
      <w:pPr>
        <w:rPr>
          <w:rFonts w:ascii="Times" w:hAnsi="Times" w:cs="Times"/>
          <w:color w:val="FF0000"/>
          <w:sz w:val="22"/>
        </w:rPr>
      </w:pPr>
    </w:p>
    <w:p>
      <w:pPr>
        <w:spacing w:before="240"/>
        <w:rPr>
          <w:rFonts w:ascii="Times" w:hAnsi="Times" w:cs="Times"/>
          <w:i/>
          <w:iCs/>
          <w:sz w:val="22"/>
        </w:rPr>
      </w:pPr>
      <w:r>
        <w:rPr>
          <w:rFonts w:ascii="Times" w:hAnsi="Times" w:cs="Times"/>
          <w:i/>
          <w:iCs/>
          <w:sz w:val="22"/>
        </w:rPr>
        <w:t>2.2. 图与表</w:t>
      </w:r>
    </w:p>
    <w:p>
      <w:pPr>
        <w:jc w:val="center"/>
        <w:rPr>
          <w:rFonts w:ascii="Times" w:hAnsi="Times" w:cs="Times"/>
        </w:rPr>
      </w:pPr>
      <w:bookmarkStart w:id="0" w:name="_Hlk26801841"/>
      <w:r>
        <w:rPr>
          <w:rFonts w:ascii="Times" w:hAnsi="Times" w:cs="Times"/>
        </w:rPr>
        <w:drawing>
          <wp:inline distT="0" distB="0" distL="0" distR="0">
            <wp:extent cx="2891790" cy="2190115"/>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905961" cy="2201238"/>
                    </a:xfrm>
                    <a:prstGeom prst="rect">
                      <a:avLst/>
                    </a:prstGeom>
                    <a:noFill/>
                    <a:ln>
                      <a:noFill/>
                    </a:ln>
                  </pic:spPr>
                </pic:pic>
              </a:graphicData>
            </a:graphic>
          </wp:inline>
        </w:drawing>
      </w:r>
    </w:p>
    <w:p>
      <w:pPr>
        <w:spacing w:before="120"/>
        <w:jc w:val="center"/>
        <w:rPr>
          <w:rFonts w:ascii="Times" w:hAnsi="Times" w:cs="Times"/>
          <w:sz w:val="22"/>
        </w:rPr>
      </w:pPr>
      <w:r>
        <w:rPr>
          <w:rFonts w:ascii="Times" w:hAnsi="Times" w:cs="Times"/>
          <w:b/>
          <w:sz w:val="22"/>
        </w:rPr>
        <w:t xml:space="preserve">图1. </w:t>
      </w:r>
      <w:r>
        <w:rPr>
          <w:rFonts w:ascii="Times" w:hAnsi="Times" w:cs="Times"/>
          <w:sz w:val="22"/>
        </w:rPr>
        <w:t>图名应为图的相应说明性文字.</w:t>
      </w:r>
    </w:p>
    <w:p>
      <w:pPr>
        <w:spacing w:before="120"/>
        <w:jc w:val="center"/>
        <w:rPr>
          <w:rFonts w:ascii="Times" w:hAnsi="Times" w:cs="Times"/>
          <w:sz w:val="22"/>
        </w:rPr>
      </w:pPr>
      <w:r>
        <w:rPr>
          <w:rFonts w:ascii="Times" w:hAnsi="Times" w:cs="Times"/>
          <w:sz w:val="22"/>
        </w:rPr>
        <w:t xml:space="preserve">（图片标题：字体Times New Roman字号11 </w:t>
      </w:r>
      <w:r>
        <w:rPr>
          <w:rFonts w:hint="eastAsia" w:ascii="Times" w:hAnsi="Times" w:cs="Times"/>
          <w:sz w:val="22"/>
        </w:rPr>
        <w:t>段前</w:t>
      </w:r>
      <w:r>
        <w:rPr>
          <w:rFonts w:ascii="Times" w:hAnsi="Times" w:cs="Times"/>
          <w:sz w:val="22"/>
        </w:rPr>
        <w:t>6</w:t>
      </w:r>
      <w:r>
        <w:rPr>
          <w:rFonts w:hint="eastAsia" w:ascii="Times" w:hAnsi="Times" w:cs="Times"/>
          <w:sz w:val="22"/>
        </w:rPr>
        <w:t xml:space="preserve">磅 </w:t>
      </w:r>
      <w:r>
        <w:rPr>
          <w:rFonts w:ascii="Times" w:hAnsi="Times" w:cs="Times"/>
          <w:sz w:val="22"/>
        </w:rPr>
        <w:t>居中</w:t>
      </w:r>
      <w:r>
        <w:rPr>
          <w:rFonts w:hint="eastAsia" w:ascii="Times" w:hAnsi="Times" w:cs="Times"/>
          <w:sz w:val="22"/>
        </w:rPr>
        <w:t>。</w:t>
      </w:r>
      <w:r>
        <w:rPr>
          <w:rFonts w:ascii="Times" w:hAnsi="Times" w:cs="Times"/>
          <w:color w:val="000000" w:themeColor="text1"/>
          <w:sz w:val="22"/>
          <w14:textFill>
            <w14:solidFill>
              <w14:schemeClr w14:val="tx1"/>
            </w14:solidFill>
          </w14:textFill>
        </w:rPr>
        <w:t>注意</w:t>
      </w:r>
      <w:r>
        <w:rPr>
          <w:rFonts w:hint="eastAsia" w:ascii="Times" w:hAnsi="Times" w:cs="Times"/>
          <w:color w:val="000000" w:themeColor="text1"/>
          <w:sz w:val="22"/>
          <w14:textFill>
            <w14:solidFill>
              <w14:schemeClr w14:val="tx1"/>
            </w14:solidFill>
          </w14:textFill>
        </w:rPr>
        <w:t>：1）</w:t>
      </w:r>
      <w:r>
        <w:rPr>
          <w:rFonts w:ascii="Times" w:hAnsi="Times" w:cs="Times"/>
          <w:color w:val="000000" w:themeColor="text1"/>
          <w:sz w:val="22"/>
          <w14:textFill>
            <w14:solidFill>
              <w14:schemeClr w14:val="tx1"/>
            </w14:solidFill>
          </w14:textFill>
        </w:rPr>
        <w:t>图片需要嵌入型以及图片内容要清晰，</w:t>
      </w:r>
      <w:r>
        <w:rPr>
          <w:rFonts w:hint="eastAsia" w:ascii="Times" w:hAnsi="Times" w:cs="Times"/>
          <w:color w:val="000000" w:themeColor="text1"/>
          <w:sz w:val="22"/>
          <w14:textFill>
            <w14:solidFill>
              <w14:schemeClr w14:val="tx1"/>
            </w14:solidFill>
          </w14:textFill>
        </w:rPr>
        <w:t>图中文字字体最好是</w:t>
      </w:r>
      <w:r>
        <w:rPr>
          <w:rFonts w:ascii="Times" w:hAnsi="Times" w:cs="Times"/>
          <w:color w:val="000000" w:themeColor="text1"/>
          <w:sz w:val="22"/>
          <w14:textFill>
            <w14:solidFill>
              <w14:schemeClr w14:val="tx1"/>
            </w14:solidFill>
          </w14:textFill>
        </w:rPr>
        <w:t>Times New Roman</w:t>
      </w:r>
      <w:r>
        <w:rPr>
          <w:rFonts w:hint="eastAsia" w:ascii="Times" w:hAnsi="Times" w:cs="Times"/>
          <w:color w:val="000000" w:themeColor="text1"/>
          <w:sz w:val="22"/>
          <w14:textFill>
            <w14:solidFill>
              <w14:schemeClr w14:val="tx1"/>
            </w14:solidFill>
          </w14:textFill>
        </w:rPr>
        <w:t>，字号1</w:t>
      </w:r>
      <w:r>
        <w:rPr>
          <w:rFonts w:ascii="Times" w:hAnsi="Times" w:cs="Times"/>
          <w:color w:val="000000" w:themeColor="text1"/>
          <w:sz w:val="22"/>
          <w14:textFill>
            <w14:solidFill>
              <w14:schemeClr w14:val="tx1"/>
            </w14:solidFill>
          </w14:textFill>
        </w:rPr>
        <w:t>1</w:t>
      </w:r>
      <w:r>
        <w:rPr>
          <w:rFonts w:hint="eastAsia" w:ascii="Times" w:hAnsi="Times" w:cs="Times"/>
          <w:color w:val="000000" w:themeColor="text1"/>
          <w:sz w:val="22"/>
          <w14:textFill>
            <w14:solidFill>
              <w14:schemeClr w14:val="tx1"/>
            </w14:solidFill>
          </w14:textFill>
        </w:rPr>
        <w:t>。2）</w:t>
      </w:r>
      <w:r>
        <w:rPr>
          <w:rFonts w:ascii="Times" w:hAnsi="Times" w:cs="Times"/>
          <w:color w:val="000000" w:themeColor="text1"/>
          <w:sz w:val="22"/>
          <w14:textFill>
            <w14:solidFill>
              <w14:schemeClr w14:val="tx1"/>
            </w14:solidFill>
          </w14:textFill>
        </w:rPr>
        <w:t>图片切勿超出版面，图片标题应该放在图的下面</w:t>
      </w:r>
      <w:r>
        <w:rPr>
          <w:rFonts w:hint="eastAsia" w:ascii="Times" w:hAnsi="Times" w:cs="Times"/>
          <w:color w:val="000000" w:themeColor="text1"/>
          <w:sz w:val="22"/>
          <w14:textFill>
            <w14:solidFill>
              <w14:schemeClr w14:val="tx1"/>
            </w14:solidFill>
          </w14:textFill>
        </w:rPr>
        <w:t>，且文中要正确引用图片，所有“Figure”必须是全称，不能缩写</w:t>
      </w:r>
      <w:r>
        <w:rPr>
          <w:rFonts w:ascii="Times" w:hAnsi="Times" w:cs="Times"/>
          <w:color w:val="000000" w:themeColor="text1"/>
          <w:sz w:val="22"/>
          <w14:textFill>
            <w14:solidFill>
              <w14:schemeClr w14:val="tx1"/>
            </w14:solidFill>
          </w14:textFill>
        </w:rPr>
        <w:t>，标题结束要加句号</w:t>
      </w:r>
      <w:r>
        <w:rPr>
          <w:rFonts w:hint="eastAsia" w:ascii="Times" w:hAnsi="Times" w:cs="Times"/>
          <w:color w:val="000000" w:themeColor="text1"/>
          <w:sz w:val="22"/>
          <w14:textFill>
            <w14:solidFill>
              <w14:schemeClr w14:val="tx1"/>
            </w14:solidFill>
          </w14:textFill>
        </w:rPr>
        <w:t>。3）如果图有</w:t>
      </w:r>
      <w:r>
        <w:rPr>
          <w:rFonts w:ascii="Times" w:hAnsi="Times" w:cs="Times"/>
          <w:color w:val="000000" w:themeColor="text1"/>
          <w:sz w:val="22"/>
          <w14:textFill>
            <w14:solidFill>
              <w14:schemeClr w14:val="tx1"/>
            </w14:solidFill>
          </w14:textFill>
        </w:rPr>
        <w:t>a)b)c</w:t>
      </w:r>
      <w:r>
        <w:rPr>
          <w:rFonts w:hint="eastAsia" w:ascii="Times" w:hAnsi="Times" w:cs="Times"/>
          <w:color w:val="000000" w:themeColor="text1"/>
          <w:sz w:val="22"/>
          <w14:textFill>
            <w14:solidFill>
              <w14:schemeClr w14:val="tx1"/>
            </w14:solidFill>
          </w14:textFill>
        </w:rPr>
        <w:t>)等部分，各部分不应该有独立的标题</w:t>
      </w:r>
      <w:r>
        <w:rPr>
          <w:rFonts w:ascii="Times" w:hAnsi="Times" w:cs="Times"/>
          <w:sz w:val="22"/>
        </w:rPr>
        <w:t>）</w:t>
      </w:r>
    </w:p>
    <w:p>
      <w:pPr>
        <w:adjustRightInd w:val="0"/>
        <w:snapToGrid w:val="0"/>
        <w:spacing w:before="100"/>
        <w:jc w:val="center"/>
        <w:rPr>
          <w:rFonts w:ascii="Times" w:hAnsi="Times" w:cs="Times"/>
          <w:sz w:val="22"/>
        </w:rPr>
      </w:pPr>
      <w:r>
        <w:rPr>
          <w:rFonts w:ascii="Times" w:hAnsi="Times" w:cs="Times"/>
          <w:b/>
          <w:sz w:val="22"/>
        </w:rPr>
        <w:t>表1</w:t>
      </w:r>
      <w:r>
        <w:rPr>
          <w:rFonts w:ascii="Times" w:hAnsi="Times" w:cs="Times"/>
          <w:sz w:val="22"/>
        </w:rPr>
        <w:t>. 表名应为表的相应说明性文字.</w:t>
      </w:r>
    </w:p>
    <w:p>
      <w:pPr>
        <w:adjustRightInd w:val="0"/>
        <w:snapToGrid w:val="0"/>
        <w:spacing w:before="100"/>
        <w:jc w:val="center"/>
        <w:rPr>
          <w:rFonts w:ascii="Times" w:hAnsi="Times" w:cs="Times"/>
          <w:sz w:val="22"/>
        </w:rPr>
      </w:pPr>
      <w:r>
        <w:rPr>
          <w:rFonts w:ascii="Times" w:hAnsi="Times" w:cs="Times"/>
          <w:sz w:val="22"/>
        </w:rPr>
        <w:t>（</w:t>
      </w:r>
      <w:r>
        <w:rPr>
          <w:rFonts w:ascii="Times" w:hAnsi="Times" w:cs="Times"/>
          <w:color w:val="000000" w:themeColor="text1"/>
          <w:sz w:val="22"/>
          <w14:textFill>
            <w14:solidFill>
              <w14:schemeClr w14:val="tx1"/>
            </w14:solidFill>
          </w14:textFill>
        </w:rPr>
        <w:t xml:space="preserve">表格标题：字体Times New Roman字号11 </w:t>
      </w:r>
      <w:r>
        <w:rPr>
          <w:rFonts w:hint="eastAsia" w:ascii="Times" w:hAnsi="Times" w:cs="Times"/>
          <w:color w:val="000000" w:themeColor="text1"/>
          <w:sz w:val="22"/>
          <w14:textFill>
            <w14:solidFill>
              <w14:schemeClr w14:val="tx1"/>
            </w14:solidFill>
          </w14:textFill>
        </w:rPr>
        <w:t xml:space="preserve">段后5磅 </w:t>
      </w:r>
      <w:r>
        <w:rPr>
          <w:rFonts w:ascii="Times" w:hAnsi="Times" w:cs="Times"/>
          <w:color w:val="000000" w:themeColor="text1"/>
          <w:sz w:val="22"/>
          <w14:textFill>
            <w14:solidFill>
              <w14:schemeClr w14:val="tx1"/>
            </w14:solidFill>
          </w14:textFill>
        </w:rPr>
        <w:t>居中</w:t>
      </w:r>
      <w:r>
        <w:rPr>
          <w:rFonts w:hint="eastAsia" w:ascii="Times" w:hAnsi="Times" w:cs="Times"/>
          <w:color w:val="000000" w:themeColor="text1"/>
          <w:sz w:val="22"/>
          <w14:textFill>
            <w14:solidFill>
              <w14:schemeClr w14:val="tx1"/>
            </w14:solidFill>
          </w14:textFill>
        </w:rPr>
        <w:t>。</w:t>
      </w:r>
      <w:r>
        <w:rPr>
          <w:rFonts w:ascii="Times" w:hAnsi="Times" w:cs="Times"/>
          <w:color w:val="000000" w:themeColor="text1"/>
          <w:sz w:val="22"/>
          <w14:textFill>
            <w14:solidFill>
              <w14:schemeClr w14:val="tx1"/>
            </w14:solidFill>
          </w14:textFill>
        </w:rPr>
        <w:t>注意</w:t>
      </w:r>
      <w:r>
        <w:rPr>
          <w:rFonts w:hint="eastAsia" w:ascii="Times" w:hAnsi="Times" w:cs="Times"/>
          <w:color w:val="000000" w:themeColor="text1"/>
          <w:sz w:val="22"/>
          <w14:textFill>
            <w14:solidFill>
              <w14:schemeClr w14:val="tx1"/>
            </w14:solidFill>
          </w14:textFill>
        </w:rPr>
        <w:t>：1）</w:t>
      </w:r>
      <w:r>
        <w:rPr>
          <w:rFonts w:ascii="Times" w:hAnsi="Times" w:cs="Times"/>
          <w:color w:val="000000" w:themeColor="text1"/>
          <w:sz w:val="22"/>
          <w14:textFill>
            <w14:solidFill>
              <w14:schemeClr w14:val="tx1"/>
            </w14:solidFill>
          </w14:textFill>
        </w:rPr>
        <w:t>表格不要环绕型，另外表格切勿超出版面，表格标题应该放在表的上面，</w:t>
      </w:r>
      <w:r>
        <w:rPr>
          <w:rFonts w:hint="eastAsia" w:ascii="Times" w:hAnsi="Times" w:cs="Times"/>
          <w:color w:val="000000" w:themeColor="text1"/>
          <w:sz w:val="22"/>
          <w14:textFill>
            <w14:solidFill>
              <w14:schemeClr w14:val="tx1"/>
            </w14:solidFill>
          </w14:textFill>
        </w:rPr>
        <w:t>且文中要正确引用表格。2）所有的“</w:t>
      </w:r>
      <w:r>
        <w:rPr>
          <w:rFonts w:ascii="Times" w:hAnsi="Times" w:cs="Times"/>
          <w:color w:val="000000" w:themeColor="text1"/>
          <w:sz w:val="22"/>
          <w14:textFill>
            <w14:solidFill>
              <w14:schemeClr w14:val="tx1"/>
            </w14:solidFill>
          </w14:textFill>
        </w:rPr>
        <w:t>T</w:t>
      </w:r>
      <w:r>
        <w:rPr>
          <w:rFonts w:hint="eastAsia" w:ascii="Times" w:hAnsi="Times" w:cs="Times"/>
          <w:color w:val="000000" w:themeColor="text1"/>
          <w:sz w:val="22"/>
          <w14:textFill>
            <w14:solidFill>
              <w14:schemeClr w14:val="tx1"/>
            </w14:solidFill>
          </w14:textFill>
        </w:rPr>
        <w:t>able”必须是全称，不能缩写，</w:t>
      </w:r>
      <w:r>
        <w:rPr>
          <w:rFonts w:ascii="Times" w:hAnsi="Times" w:cs="Times"/>
          <w:color w:val="000000" w:themeColor="text1"/>
          <w:sz w:val="22"/>
          <w14:textFill>
            <w14:solidFill>
              <w14:schemeClr w14:val="tx1"/>
            </w14:solidFill>
          </w14:textFill>
        </w:rPr>
        <w:t>标题结束要加句号</w:t>
      </w:r>
      <w:r>
        <w:rPr>
          <w:rFonts w:hint="eastAsia" w:ascii="Times" w:hAnsi="Times" w:cs="Times"/>
          <w:color w:val="000000" w:themeColor="text1"/>
          <w:sz w:val="22"/>
          <w14:textFill>
            <w14:solidFill>
              <w14:schemeClr w14:val="tx1"/>
            </w14:solidFill>
          </w14:textFill>
        </w:rPr>
        <w:t>。3）如果表有</w:t>
      </w:r>
      <w:r>
        <w:rPr>
          <w:rFonts w:ascii="Times" w:hAnsi="Times" w:cs="Times"/>
          <w:color w:val="000000" w:themeColor="text1"/>
          <w:sz w:val="22"/>
          <w14:textFill>
            <w14:solidFill>
              <w14:schemeClr w14:val="tx1"/>
            </w14:solidFill>
          </w14:textFill>
        </w:rPr>
        <w:t>a)b)c</w:t>
      </w:r>
      <w:r>
        <w:rPr>
          <w:rFonts w:hint="eastAsia" w:ascii="Times" w:hAnsi="Times" w:cs="Times"/>
          <w:color w:val="000000" w:themeColor="text1"/>
          <w:sz w:val="22"/>
          <w14:textFill>
            <w14:solidFill>
              <w14:schemeClr w14:val="tx1"/>
            </w14:solidFill>
          </w14:textFill>
        </w:rPr>
        <w:t>)等部分，各部分不应该有独立的标题。4）表格请用三线表：一条在表格顶部，一条在底部，一条用于分割标题和内容</w:t>
      </w:r>
      <w:r>
        <w:rPr>
          <w:rFonts w:ascii="Times" w:hAnsi="Times" w:cs="Times"/>
          <w:sz w:val="22"/>
        </w:rPr>
        <w:t>）</w:t>
      </w: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2"/>
        <w:gridCol w:w="1814"/>
        <w:gridCol w:w="1814"/>
        <w:gridCol w:w="1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2" w:type="dxa"/>
            <w:vMerge w:val="restart"/>
            <w:tcBorders>
              <w:top w:val="single" w:color="auto" w:sz="4" w:space="0"/>
            </w:tcBorders>
            <w:vAlign w:val="center"/>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表题</w:t>
            </w:r>
          </w:p>
        </w:tc>
        <w:tc>
          <w:tcPr>
            <w:tcW w:w="5442" w:type="dxa"/>
            <w:gridSpan w:val="3"/>
            <w:tcBorders>
              <w:top w:val="single" w:color="auto" w:sz="4" w:space="0"/>
              <w:bottom w:val="single" w:color="auto" w:sz="4" w:space="0"/>
            </w:tcBorders>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分栏表题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2" w:type="dxa"/>
            <w:vMerge w:val="continue"/>
            <w:tcBorders>
              <w:bottom w:val="single" w:color="auto" w:sz="4" w:space="0"/>
            </w:tcBorders>
          </w:tcPr>
          <w:p>
            <w:pPr>
              <w:adjustRightInd w:val="0"/>
              <w:snapToGrid w:val="0"/>
              <w:spacing w:line="300" w:lineRule="atLeast"/>
              <w:jc w:val="center"/>
              <w:rPr>
                <w:rFonts w:ascii="Times" w:hAnsi="Times" w:eastAsia="宋体" w:cs="Times"/>
                <w:sz w:val="22"/>
                <w:szCs w:val="22"/>
              </w:rPr>
            </w:pPr>
          </w:p>
        </w:tc>
        <w:tc>
          <w:tcPr>
            <w:tcW w:w="1814" w:type="dxa"/>
            <w:tcBorders>
              <w:top w:val="single" w:color="auto" w:sz="4" w:space="0"/>
              <w:bottom w:val="single" w:color="auto" w:sz="4" w:space="0"/>
            </w:tcBorders>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小标题</w:t>
            </w:r>
          </w:p>
        </w:tc>
        <w:tc>
          <w:tcPr>
            <w:tcW w:w="1814" w:type="dxa"/>
            <w:tcBorders>
              <w:top w:val="single" w:color="auto" w:sz="4" w:space="0"/>
              <w:bottom w:val="single" w:color="auto" w:sz="4" w:space="0"/>
            </w:tcBorders>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小标题</w:t>
            </w:r>
          </w:p>
        </w:tc>
        <w:tc>
          <w:tcPr>
            <w:tcW w:w="1814" w:type="dxa"/>
            <w:tcBorders>
              <w:top w:val="single" w:color="auto" w:sz="4" w:space="0"/>
              <w:bottom w:val="single" w:color="auto" w:sz="4" w:space="0"/>
            </w:tcBorders>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小标题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2" w:type="dxa"/>
            <w:tcBorders>
              <w:top w:val="single" w:color="auto" w:sz="4" w:space="0"/>
            </w:tcBorders>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1</w:t>
            </w:r>
          </w:p>
        </w:tc>
        <w:tc>
          <w:tcPr>
            <w:tcW w:w="1814" w:type="dxa"/>
            <w:tcBorders>
              <w:top w:val="single" w:color="auto" w:sz="4" w:space="0"/>
            </w:tcBorders>
          </w:tcPr>
          <w:p>
            <w:pPr>
              <w:adjustRightInd w:val="0"/>
              <w:snapToGrid w:val="0"/>
              <w:spacing w:line="300" w:lineRule="atLeast"/>
              <w:jc w:val="center"/>
              <w:rPr>
                <w:rFonts w:ascii="Times" w:hAnsi="Times" w:eastAsia="宋体" w:cs="Times"/>
                <w:sz w:val="22"/>
                <w:szCs w:val="22"/>
              </w:rPr>
            </w:pPr>
          </w:p>
        </w:tc>
        <w:tc>
          <w:tcPr>
            <w:tcW w:w="1814" w:type="dxa"/>
            <w:tcBorders>
              <w:top w:val="single" w:color="auto" w:sz="4" w:space="0"/>
            </w:tcBorders>
          </w:tcPr>
          <w:p>
            <w:pPr>
              <w:adjustRightInd w:val="0"/>
              <w:snapToGrid w:val="0"/>
              <w:spacing w:line="300" w:lineRule="atLeast"/>
              <w:jc w:val="center"/>
              <w:rPr>
                <w:rFonts w:ascii="Times" w:hAnsi="Times" w:eastAsia="宋体" w:cs="Times"/>
                <w:sz w:val="22"/>
                <w:szCs w:val="22"/>
              </w:rPr>
            </w:pPr>
          </w:p>
        </w:tc>
        <w:tc>
          <w:tcPr>
            <w:tcW w:w="1814" w:type="dxa"/>
            <w:tcBorders>
              <w:top w:val="single" w:color="auto" w:sz="4" w:space="0"/>
            </w:tcBorders>
          </w:tcPr>
          <w:p>
            <w:pPr>
              <w:adjustRightInd w:val="0"/>
              <w:snapToGrid w:val="0"/>
              <w:spacing w:line="300" w:lineRule="atLeast"/>
              <w:jc w:val="center"/>
              <w:rPr>
                <w:rFonts w:ascii="Times" w:hAnsi="Times" w:eastAsia="宋体" w:cs="Time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2" w:type="dxa"/>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2</w:t>
            </w: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2" w:type="dxa"/>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3</w:t>
            </w: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2" w:type="dxa"/>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4</w:t>
            </w: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2" w:type="dxa"/>
          </w:tcPr>
          <w:p>
            <w:pPr>
              <w:adjustRightInd w:val="0"/>
              <w:snapToGrid w:val="0"/>
              <w:spacing w:line="300" w:lineRule="atLeast"/>
              <w:jc w:val="center"/>
              <w:rPr>
                <w:rFonts w:ascii="Times" w:hAnsi="Times" w:eastAsia="宋体" w:cs="Times"/>
                <w:sz w:val="22"/>
                <w:szCs w:val="22"/>
              </w:rPr>
            </w:pPr>
            <w:r>
              <w:rPr>
                <w:rFonts w:ascii="Times" w:hAnsi="Times" w:eastAsia="宋体" w:cs="Times"/>
                <w:sz w:val="22"/>
                <w:szCs w:val="22"/>
              </w:rPr>
              <w:t>5</w:t>
            </w: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c>
          <w:tcPr>
            <w:tcW w:w="1814" w:type="dxa"/>
          </w:tcPr>
          <w:p>
            <w:pPr>
              <w:adjustRightInd w:val="0"/>
              <w:snapToGrid w:val="0"/>
              <w:spacing w:line="300" w:lineRule="atLeast"/>
              <w:jc w:val="center"/>
              <w:rPr>
                <w:rFonts w:ascii="Times" w:hAnsi="Times" w:eastAsia="宋体" w:cs="Times"/>
                <w:sz w:val="22"/>
                <w:szCs w:val="22"/>
              </w:rPr>
            </w:pPr>
          </w:p>
        </w:tc>
      </w:tr>
      <w:bookmarkEnd w:id="0"/>
    </w:tbl>
    <w:p>
      <w:pPr>
        <w:spacing w:before="240"/>
        <w:rPr>
          <w:rFonts w:ascii="Times" w:hAnsi="Times" w:cs="Times"/>
          <w:i/>
          <w:iCs/>
          <w:sz w:val="22"/>
        </w:rPr>
      </w:pPr>
      <w:r>
        <w:rPr>
          <w:rFonts w:hint="eastAsia" w:ascii="Times" w:hAnsi="Times" w:cs="Times"/>
          <w:i/>
          <w:iCs/>
          <w:sz w:val="22"/>
        </w:rPr>
        <w:t>2</w:t>
      </w:r>
      <w:r>
        <w:rPr>
          <w:rFonts w:ascii="Times" w:hAnsi="Times" w:cs="Times"/>
          <w:i/>
          <w:iCs/>
          <w:sz w:val="22"/>
        </w:rPr>
        <w:t>.2.1</w:t>
      </w:r>
      <w:r>
        <w:rPr>
          <w:rFonts w:hint="eastAsia" w:ascii="Times" w:hAnsi="Times" w:cs="Times"/>
          <w:i/>
          <w:iCs/>
          <w:sz w:val="22"/>
        </w:rPr>
        <w:t>表格注释</w:t>
      </w:r>
    </w:p>
    <w:p>
      <w:pPr>
        <w:rPr>
          <w:rFonts w:ascii="Times" w:hAnsi="Times" w:cs="Times"/>
          <w:iCs/>
          <w:sz w:val="22"/>
        </w:rPr>
      </w:pPr>
      <w:r>
        <w:rPr>
          <w:rFonts w:hint="eastAsia" w:ascii="Times" w:hAnsi="Times" w:cs="Times"/>
          <w:iCs/>
          <w:sz w:val="22"/>
        </w:rPr>
        <w:t>如果您希望在表格格式中包含对表格正文和</w:t>
      </w:r>
      <w:r>
        <w:rPr>
          <w:rFonts w:ascii="Times" w:hAnsi="Times" w:cs="Times"/>
          <w:iCs/>
          <w:sz w:val="22"/>
        </w:rPr>
        <w:t xml:space="preserve">/或表格标题中的条目的注释（表格脚注），这些注释的格式应使用字母上标，如 </w:t>
      </w:r>
      <w:r>
        <w:rPr>
          <w:rFonts w:ascii="Times" w:hAnsi="Times" w:cs="Times"/>
          <w:iCs/>
          <w:sz w:val="22"/>
          <w:vertAlign w:val="superscript"/>
        </w:rPr>
        <w:t>a</w:t>
      </w:r>
      <w:r>
        <w:rPr>
          <w:rFonts w:ascii="Times" w:hAnsi="Times" w:cs="Times"/>
          <w:iCs/>
          <w:sz w:val="22"/>
        </w:rPr>
        <w:t>、</w:t>
      </w:r>
      <w:r>
        <w:rPr>
          <w:rFonts w:ascii="Times" w:hAnsi="Times" w:cs="Times"/>
          <w:iCs/>
          <w:sz w:val="22"/>
          <w:vertAlign w:val="superscript"/>
        </w:rPr>
        <w:t>b</w:t>
      </w:r>
      <w:r>
        <w:rPr>
          <w:rFonts w:ascii="Times" w:hAnsi="Times" w:cs="Times"/>
          <w:iCs/>
          <w:sz w:val="22"/>
        </w:rPr>
        <w:t>、</w:t>
      </w:r>
      <w:r>
        <w:rPr>
          <w:rFonts w:ascii="Times" w:hAnsi="Times" w:cs="Times"/>
          <w:iCs/>
          <w:sz w:val="22"/>
          <w:vertAlign w:val="superscript"/>
        </w:rPr>
        <w:t>c</w:t>
      </w:r>
      <w:r>
        <w:rPr>
          <w:rFonts w:ascii="Times" w:hAnsi="Times" w:cs="Times"/>
          <w:iCs/>
          <w:sz w:val="22"/>
        </w:rPr>
        <w:t xml:space="preserve"> 等。表格标题中的注释应列在前面。注释应放在表格底部；一种方便的方法是在表格底部创建一个空行来放置注释。同样，合并单元格，使单个单元格与表格等宽。表格注释应使用 10 号 </w:t>
      </w:r>
      <w:r>
        <w:rPr>
          <w:rFonts w:ascii="Times" w:hAnsi="Times" w:cs="Times"/>
          <w:color w:val="000000" w:themeColor="text1"/>
          <w:sz w:val="22"/>
          <w14:textFill>
            <w14:solidFill>
              <w14:schemeClr w14:val="tx1"/>
            </w14:solidFill>
          </w14:textFill>
        </w:rPr>
        <w:t>Times New Roman</w:t>
      </w:r>
      <w:r>
        <w:rPr>
          <w:rFonts w:ascii="Times" w:hAnsi="Times" w:cs="Times"/>
          <w:iCs/>
          <w:sz w:val="22"/>
        </w:rPr>
        <w:t>字体。每个注释应单独成行。</w:t>
      </w:r>
    </w:p>
    <w:tbl>
      <w:tblPr>
        <w:tblStyle w:val="4"/>
        <w:tblW w:w="0" w:type="auto"/>
        <w:jc w:val="center"/>
        <w:tblLayout w:type="autofit"/>
        <w:tblCellMar>
          <w:top w:w="0" w:type="dxa"/>
          <w:left w:w="108" w:type="dxa"/>
          <w:bottom w:w="0" w:type="dxa"/>
          <w:right w:w="108" w:type="dxa"/>
        </w:tblCellMar>
      </w:tblPr>
      <w:tblGrid>
        <w:gridCol w:w="1531"/>
        <w:gridCol w:w="1866"/>
        <w:gridCol w:w="1866"/>
        <w:gridCol w:w="1866"/>
        <w:gridCol w:w="1291"/>
      </w:tblGrid>
      <w:tr>
        <w:tblPrEx>
          <w:tblCellMar>
            <w:top w:w="0" w:type="dxa"/>
            <w:left w:w="108" w:type="dxa"/>
            <w:bottom w:w="0" w:type="dxa"/>
            <w:right w:w="108" w:type="dxa"/>
          </w:tblCellMar>
        </w:tblPrEx>
        <w:trPr>
          <w:jc w:val="center"/>
        </w:trPr>
        <w:tc>
          <w:tcPr>
            <w:tcW w:w="8420" w:type="dxa"/>
            <w:gridSpan w:val="5"/>
            <w:tcBorders>
              <w:bottom w:val="single" w:color="auto" w:sz="4" w:space="0"/>
            </w:tcBorders>
            <w:shd w:val="clear" w:color="auto" w:fill="auto"/>
            <w:tcMar>
              <w:left w:w="0" w:type="dxa"/>
              <w:right w:w="0" w:type="dxa"/>
            </w:tcMar>
            <w:vAlign w:val="bottom"/>
          </w:tcPr>
          <w:p>
            <w:pPr>
              <w:pStyle w:val="23"/>
              <w:ind w:left="28"/>
              <w:rPr>
                <w:rFonts w:ascii="Times New Roman" w:hAnsi="Times New Roman"/>
              </w:rPr>
            </w:pPr>
            <w:r>
              <w:rPr>
                <w:rFonts w:ascii="Times New Roman" w:hAnsi="Times New Roman"/>
                <w:b/>
              </w:rPr>
              <w:t>Table 6.</w:t>
            </w:r>
            <w:r>
              <w:rPr>
                <w:rFonts w:ascii="Times New Roman" w:hAnsi="Times New Roman"/>
              </w:rPr>
              <w:t xml:space="preserve"> A table with headings spanning two columns and containing notes</w:t>
            </w:r>
            <w:r>
              <w:rPr>
                <w:rFonts w:ascii="Times New Roman" w:hAnsi="Times New Roman"/>
                <w:vertAlign w:val="superscript"/>
              </w:rPr>
              <w:t>a</w:t>
            </w:r>
            <w:r>
              <w:rPr>
                <w:rFonts w:ascii="Times New Roman" w:hAnsi="Times New Roman"/>
              </w:rPr>
              <w:t>.</w:t>
            </w:r>
          </w:p>
        </w:tc>
      </w:tr>
      <w:tr>
        <w:tblPrEx>
          <w:tblCellMar>
            <w:top w:w="0" w:type="dxa"/>
            <w:left w:w="108" w:type="dxa"/>
            <w:bottom w:w="0" w:type="dxa"/>
            <w:right w:w="108" w:type="dxa"/>
          </w:tblCellMar>
        </w:tblPrEx>
        <w:trPr>
          <w:jc w:val="center"/>
        </w:trPr>
        <w:tc>
          <w:tcPr>
            <w:tcW w:w="1531" w:type="dxa"/>
            <w:vMerge w:val="restart"/>
            <w:tcBorders>
              <w:top w:val="single" w:color="auto" w:sz="6" w:space="0"/>
              <w:bottom w:val="single" w:color="auto" w:sz="4" w:space="0"/>
            </w:tcBorders>
            <w:shd w:val="clear" w:color="auto" w:fill="auto"/>
            <w:tcMar>
              <w:left w:w="0" w:type="dxa"/>
              <w:right w:w="0" w:type="dxa"/>
            </w:tcMar>
            <w:vAlign w:val="bottom"/>
          </w:tcPr>
          <w:p>
            <w:pPr>
              <w:spacing w:before="40" w:after="40"/>
              <w:ind w:left="28"/>
              <w:rPr>
                <w:rFonts w:ascii="Times New Roman" w:hAnsi="Times New Roman"/>
                <w:sz w:val="22"/>
              </w:rPr>
            </w:pPr>
            <w:r>
              <w:rPr>
                <w:rFonts w:ascii="Times New Roman" w:hAnsi="Times New Roman"/>
                <w:color w:val="000000"/>
                <w:sz w:val="22"/>
              </w:rPr>
              <w:t>Nucleus</w:t>
            </w:r>
          </w:p>
        </w:tc>
        <w:tc>
          <w:tcPr>
            <w:tcW w:w="1866" w:type="dxa"/>
            <w:vMerge w:val="restart"/>
            <w:tcBorders>
              <w:top w:val="single" w:color="auto" w:sz="6" w:space="0"/>
              <w:bottom w:val="single" w:color="auto" w:sz="4" w:space="0"/>
            </w:tcBorders>
            <w:shd w:val="clear" w:color="auto" w:fill="auto"/>
            <w:tcMar>
              <w:left w:w="0" w:type="dxa"/>
              <w:right w:w="0" w:type="dxa"/>
            </w:tcMar>
            <w:vAlign w:val="bottom"/>
          </w:tcPr>
          <w:p>
            <w:pPr>
              <w:spacing w:before="40" w:after="40"/>
              <w:ind w:left="28"/>
              <w:rPr>
                <w:rFonts w:ascii="Times New Roman" w:hAnsi="Times New Roman"/>
                <w:sz w:val="22"/>
              </w:rPr>
            </w:pPr>
            <w:r>
              <w:rPr>
                <w:rFonts w:ascii="Times New Roman" w:hAnsi="Times New Roman"/>
                <w:color w:val="000000"/>
                <w:sz w:val="22"/>
              </w:rPr>
              <w:t>Thickness</w:t>
            </w:r>
          </w:p>
          <w:p>
            <w:pPr>
              <w:spacing w:before="40" w:after="40"/>
              <w:ind w:left="28"/>
              <w:rPr>
                <w:rFonts w:ascii="Times New Roman" w:hAnsi="Times New Roman"/>
                <w:sz w:val="22"/>
              </w:rPr>
            </w:pPr>
            <w:r>
              <w:rPr>
                <w:rFonts w:ascii="Times New Roman" w:hAnsi="Times New Roman"/>
                <w:color w:val="000000"/>
                <w:sz w:val="22"/>
              </w:rPr>
              <w:t>(mg cm</w:t>
            </w:r>
            <w:r>
              <w:rPr>
                <w:rFonts w:ascii="Times New Roman" w:hAnsi="Times New Roman"/>
                <w:sz w:val="22"/>
                <w:vertAlign w:val="superscript"/>
              </w:rPr>
              <w:t>–2</w:t>
            </w:r>
            <w:r>
              <w:rPr>
                <w:rFonts w:ascii="Times New Roman" w:hAnsi="Times New Roman"/>
                <w:color w:val="000000"/>
                <w:sz w:val="22"/>
              </w:rPr>
              <w:t>)</w:t>
            </w:r>
          </w:p>
        </w:tc>
        <w:tc>
          <w:tcPr>
            <w:tcW w:w="1866" w:type="dxa"/>
            <w:vMerge w:val="restart"/>
            <w:tcBorders>
              <w:top w:val="single" w:color="auto" w:sz="6" w:space="0"/>
              <w:bottom w:val="single" w:color="auto" w:sz="4" w:space="0"/>
            </w:tcBorders>
            <w:shd w:val="clear" w:color="auto" w:fill="auto"/>
            <w:tcMar>
              <w:left w:w="0" w:type="dxa"/>
              <w:right w:w="0" w:type="dxa"/>
            </w:tcMar>
            <w:vAlign w:val="bottom"/>
          </w:tcPr>
          <w:p>
            <w:pPr>
              <w:spacing w:before="40" w:after="40"/>
              <w:ind w:left="28"/>
              <w:rPr>
                <w:rFonts w:ascii="Times New Roman" w:hAnsi="Times New Roman"/>
                <w:sz w:val="22"/>
              </w:rPr>
            </w:pPr>
            <w:r>
              <w:rPr>
                <w:rFonts w:ascii="Times New Roman" w:hAnsi="Times New Roman"/>
                <w:color w:val="000000"/>
                <w:sz w:val="22"/>
              </w:rPr>
              <w:t>Composition</w:t>
            </w:r>
          </w:p>
        </w:tc>
        <w:tc>
          <w:tcPr>
            <w:tcW w:w="3157" w:type="dxa"/>
            <w:gridSpan w:val="2"/>
            <w:tcBorders>
              <w:top w:val="single" w:color="auto" w:sz="6" w:space="0"/>
              <w:bottom w:val="single" w:color="auto" w:sz="4" w:space="0"/>
            </w:tcBorders>
            <w:shd w:val="clear" w:color="auto" w:fill="auto"/>
            <w:tcMar>
              <w:left w:w="0" w:type="dxa"/>
              <w:right w:w="0" w:type="dxa"/>
            </w:tcMar>
            <w:vAlign w:val="bottom"/>
          </w:tcPr>
          <w:p>
            <w:pPr>
              <w:spacing w:before="40" w:after="40"/>
              <w:ind w:left="28"/>
              <w:jc w:val="center"/>
              <w:rPr>
                <w:rFonts w:ascii="Times New Roman" w:hAnsi="Times New Roman"/>
                <w:sz w:val="22"/>
              </w:rPr>
            </w:pPr>
            <w:r>
              <w:rPr>
                <w:rFonts w:ascii="Times New Roman" w:hAnsi="Times New Roman"/>
                <w:color w:val="000000"/>
                <w:sz w:val="22"/>
              </w:rPr>
              <w:t>Separation energies</w:t>
            </w:r>
          </w:p>
        </w:tc>
      </w:tr>
      <w:tr>
        <w:tblPrEx>
          <w:tblCellMar>
            <w:top w:w="0" w:type="dxa"/>
            <w:left w:w="108" w:type="dxa"/>
            <w:bottom w:w="0" w:type="dxa"/>
            <w:right w:w="108" w:type="dxa"/>
          </w:tblCellMar>
        </w:tblPrEx>
        <w:trPr>
          <w:jc w:val="center"/>
        </w:trPr>
        <w:tc>
          <w:tcPr>
            <w:tcW w:w="1531" w:type="dxa"/>
            <w:vMerge w:val="continue"/>
            <w:tcBorders>
              <w:bottom w:val="single" w:color="auto" w:sz="4" w:space="0"/>
            </w:tcBorders>
            <w:shd w:val="clear" w:color="auto" w:fill="auto"/>
            <w:tcMar>
              <w:left w:w="0" w:type="dxa"/>
              <w:right w:w="0" w:type="dxa"/>
            </w:tcMar>
            <w:vAlign w:val="bottom"/>
          </w:tcPr>
          <w:p>
            <w:pPr>
              <w:spacing w:before="40" w:after="40"/>
              <w:ind w:left="28"/>
              <w:rPr>
                <w:rFonts w:ascii="Times New Roman" w:hAnsi="Times New Roman"/>
                <w:sz w:val="22"/>
              </w:rPr>
            </w:pPr>
          </w:p>
        </w:tc>
        <w:tc>
          <w:tcPr>
            <w:tcW w:w="1866" w:type="dxa"/>
            <w:vMerge w:val="continue"/>
            <w:tcBorders>
              <w:bottom w:val="single" w:color="auto" w:sz="4" w:space="0"/>
            </w:tcBorders>
            <w:shd w:val="clear" w:color="auto" w:fill="auto"/>
            <w:tcMar>
              <w:left w:w="0" w:type="dxa"/>
              <w:right w:w="0" w:type="dxa"/>
            </w:tcMar>
            <w:vAlign w:val="bottom"/>
          </w:tcPr>
          <w:p>
            <w:pPr>
              <w:spacing w:before="40" w:after="40"/>
              <w:ind w:left="28"/>
              <w:rPr>
                <w:rFonts w:ascii="Times New Roman" w:hAnsi="Times New Roman"/>
                <w:sz w:val="22"/>
              </w:rPr>
            </w:pPr>
          </w:p>
        </w:tc>
        <w:tc>
          <w:tcPr>
            <w:tcW w:w="1866" w:type="dxa"/>
            <w:vMerge w:val="continue"/>
            <w:tcBorders>
              <w:bottom w:val="single" w:color="auto" w:sz="4" w:space="0"/>
            </w:tcBorders>
            <w:shd w:val="clear" w:color="auto" w:fill="auto"/>
            <w:tcMar>
              <w:left w:w="0" w:type="dxa"/>
              <w:right w:w="0" w:type="dxa"/>
            </w:tcMar>
            <w:vAlign w:val="bottom"/>
          </w:tcPr>
          <w:p>
            <w:pPr>
              <w:spacing w:before="40" w:after="40"/>
              <w:ind w:left="28"/>
              <w:rPr>
                <w:rFonts w:ascii="Times New Roman" w:hAnsi="Times New Roman"/>
                <w:sz w:val="22"/>
              </w:rPr>
            </w:pPr>
          </w:p>
        </w:tc>
        <w:tc>
          <w:tcPr>
            <w:tcW w:w="1866" w:type="dxa"/>
            <w:tcBorders>
              <w:top w:val="single" w:color="auto" w:sz="4" w:space="0"/>
              <w:bottom w:val="single" w:color="auto" w:sz="4" w:space="0"/>
            </w:tcBorders>
            <w:shd w:val="clear" w:color="auto" w:fill="auto"/>
            <w:tcMar>
              <w:left w:w="0" w:type="dxa"/>
              <w:right w:w="0" w:type="dxa"/>
            </w:tcMar>
            <w:vAlign w:val="bottom"/>
          </w:tcPr>
          <w:p>
            <w:pPr>
              <w:spacing w:before="40" w:after="40"/>
              <w:ind w:left="28"/>
              <w:jc w:val="center"/>
              <w:rPr>
                <w:rFonts w:ascii="Times New Roman" w:hAnsi="Times New Roman"/>
                <w:sz w:val="22"/>
              </w:rPr>
            </w:pPr>
            <w:r>
              <w:rPr>
                <w:rFonts w:ascii="Times New Roman" w:hAnsi="Times New Roman"/>
                <w:sz w:val="22"/>
              </w:rPr>
              <w:t>,</w:t>
            </w:r>
            <w:r>
              <w:rPr>
                <w:rFonts w:ascii="Times New Roman" w:hAnsi="Times New Roman"/>
                <w:color w:val="000000"/>
                <w:sz w:val="22"/>
              </w:rPr>
              <w:t xml:space="preserve"> n (MeV)</w:t>
            </w:r>
          </w:p>
        </w:tc>
        <w:tc>
          <w:tcPr>
            <w:tcW w:w="1291" w:type="dxa"/>
            <w:tcBorders>
              <w:top w:val="single" w:color="auto" w:sz="4" w:space="0"/>
              <w:bottom w:val="single" w:color="auto" w:sz="4" w:space="0"/>
            </w:tcBorders>
            <w:shd w:val="clear" w:color="auto" w:fill="auto"/>
            <w:tcMar>
              <w:left w:w="0" w:type="dxa"/>
              <w:right w:w="0" w:type="dxa"/>
            </w:tcMar>
            <w:vAlign w:val="bottom"/>
          </w:tcPr>
          <w:p>
            <w:pPr>
              <w:spacing w:before="40" w:after="40"/>
              <w:ind w:left="28"/>
              <w:rPr>
                <w:rFonts w:ascii="Times New Roman" w:hAnsi="Times New Roman"/>
                <w:sz w:val="22"/>
              </w:rPr>
            </w:pPr>
            <w:r>
              <w:rPr>
                <w:rFonts w:ascii="Times New Roman" w:hAnsi="Times New Roman"/>
                <w:sz w:val="22"/>
              </w:rPr>
              <w:t xml:space="preserve">, </w:t>
            </w:r>
            <w:r>
              <w:rPr>
                <w:rFonts w:ascii="Times New Roman" w:hAnsi="Times New Roman"/>
                <w:color w:val="000000"/>
                <w:sz w:val="22"/>
              </w:rPr>
              <w:t>2n (MeV)</w:t>
            </w:r>
          </w:p>
        </w:tc>
      </w:tr>
      <w:tr>
        <w:tblPrEx>
          <w:tblCellMar>
            <w:top w:w="0" w:type="dxa"/>
            <w:left w:w="108" w:type="dxa"/>
            <w:bottom w:w="0" w:type="dxa"/>
            <w:right w:w="108" w:type="dxa"/>
          </w:tblCellMar>
        </w:tblPrEx>
        <w:trPr>
          <w:jc w:val="center"/>
        </w:trPr>
        <w:tc>
          <w:tcPr>
            <w:tcW w:w="1531" w:type="dxa"/>
            <w:tcBorders>
              <w:top w:val="single" w:color="auto" w:sz="4" w:space="0"/>
            </w:tcBorders>
            <w:shd w:val="clear" w:color="auto" w:fill="auto"/>
            <w:tcMar>
              <w:left w:w="0" w:type="dxa"/>
              <w:right w:w="0" w:type="dxa"/>
            </w:tcMar>
          </w:tcPr>
          <w:p>
            <w:pPr>
              <w:spacing w:before="40" w:after="40"/>
              <w:ind w:left="28"/>
              <w:rPr>
                <w:rFonts w:ascii="Times New Roman" w:hAnsi="Times New Roman"/>
                <w:sz w:val="22"/>
              </w:rPr>
            </w:pPr>
            <w:r>
              <w:rPr>
                <w:rFonts w:ascii="Times New Roman" w:hAnsi="Times New Roman"/>
                <w:color w:val="000000"/>
                <w:sz w:val="22"/>
                <w:vertAlign w:val="superscript"/>
              </w:rPr>
              <w:t>181</w:t>
            </w:r>
            <w:r>
              <w:rPr>
                <w:rFonts w:ascii="Times New Roman" w:hAnsi="Times New Roman"/>
                <w:color w:val="000000"/>
                <w:sz w:val="22"/>
              </w:rPr>
              <w:t>Ta</w:t>
            </w:r>
          </w:p>
        </w:tc>
        <w:tc>
          <w:tcPr>
            <w:tcW w:w="1866" w:type="dxa"/>
            <w:tcBorders>
              <w:top w:val="single" w:color="auto" w:sz="4" w:space="0"/>
            </w:tcBorders>
            <w:shd w:val="clear" w:color="auto" w:fill="auto"/>
            <w:tcMar>
              <w:left w:w="0" w:type="dxa"/>
              <w:right w:w="0" w:type="dxa"/>
            </w:tcMar>
          </w:tcPr>
          <w:p>
            <w:pPr>
              <w:spacing w:before="40" w:after="40"/>
              <w:ind w:left="28"/>
              <w:rPr>
                <w:rFonts w:ascii="Times New Roman" w:hAnsi="Times New Roman"/>
                <w:sz w:val="22"/>
              </w:rPr>
            </w:pPr>
            <w:r>
              <w:rPr>
                <w:rFonts w:ascii="Times New Roman" w:hAnsi="Times New Roman"/>
                <w:sz w:val="22"/>
              </w:rPr>
              <w:t>19.3±0.1</w:t>
            </w:r>
            <w:r>
              <w:rPr>
                <w:rFonts w:ascii="Times New Roman" w:hAnsi="Times New Roman"/>
                <w:color w:val="000000"/>
                <w:sz w:val="22"/>
                <w:vertAlign w:val="superscript"/>
              </w:rPr>
              <w:t>b</w:t>
            </w:r>
          </w:p>
        </w:tc>
        <w:tc>
          <w:tcPr>
            <w:tcW w:w="1866" w:type="dxa"/>
            <w:tcBorders>
              <w:top w:val="single" w:color="auto" w:sz="4" w:space="0"/>
            </w:tcBorders>
            <w:shd w:val="clear" w:color="auto" w:fill="auto"/>
            <w:tcMar>
              <w:left w:w="0" w:type="dxa"/>
              <w:right w:w="0" w:type="dxa"/>
            </w:tcMar>
          </w:tcPr>
          <w:p>
            <w:pPr>
              <w:spacing w:before="40" w:after="40"/>
              <w:ind w:left="28"/>
              <w:rPr>
                <w:rFonts w:ascii="Times New Roman" w:hAnsi="Times New Roman"/>
                <w:color w:val="000000"/>
                <w:sz w:val="22"/>
              </w:rPr>
            </w:pPr>
            <w:r>
              <w:rPr>
                <w:rFonts w:ascii="Times New Roman" w:hAnsi="Times New Roman"/>
                <w:color w:val="000000"/>
                <w:sz w:val="22"/>
              </w:rPr>
              <w:t>Natural</w:t>
            </w:r>
          </w:p>
        </w:tc>
        <w:tc>
          <w:tcPr>
            <w:tcW w:w="1866" w:type="dxa"/>
            <w:tcBorders>
              <w:top w:val="single" w:color="auto" w:sz="4" w:space="0"/>
            </w:tcBorders>
            <w:shd w:val="clear" w:color="auto" w:fill="auto"/>
            <w:tcMar>
              <w:left w:w="0" w:type="dxa"/>
              <w:right w:w="0" w:type="dxa"/>
            </w:tcMar>
          </w:tcPr>
          <w:p>
            <w:pPr>
              <w:spacing w:before="40" w:after="40"/>
              <w:ind w:left="28"/>
              <w:jc w:val="center"/>
              <w:rPr>
                <w:rFonts w:ascii="Times New Roman" w:hAnsi="Times New Roman"/>
                <w:color w:val="000000"/>
                <w:sz w:val="22"/>
              </w:rPr>
            </w:pPr>
            <w:r>
              <w:rPr>
                <w:rFonts w:ascii="Times New Roman" w:hAnsi="Times New Roman"/>
                <w:color w:val="000000"/>
                <w:sz w:val="22"/>
              </w:rPr>
              <w:t>7.6</w:t>
            </w:r>
          </w:p>
        </w:tc>
        <w:tc>
          <w:tcPr>
            <w:tcW w:w="1291" w:type="dxa"/>
            <w:tcBorders>
              <w:top w:val="single" w:color="auto" w:sz="4" w:space="0"/>
            </w:tcBorders>
            <w:shd w:val="clear" w:color="auto" w:fill="auto"/>
            <w:tcMar>
              <w:left w:w="0" w:type="dxa"/>
              <w:right w:w="0" w:type="dxa"/>
            </w:tcMar>
          </w:tcPr>
          <w:p>
            <w:pPr>
              <w:spacing w:before="40" w:after="40"/>
              <w:ind w:left="28"/>
              <w:jc w:val="center"/>
              <w:rPr>
                <w:rFonts w:ascii="Times New Roman" w:hAnsi="Times New Roman"/>
                <w:color w:val="000000"/>
                <w:sz w:val="22"/>
              </w:rPr>
            </w:pPr>
            <w:r>
              <w:rPr>
                <w:rFonts w:ascii="Times New Roman" w:hAnsi="Times New Roman"/>
                <w:color w:val="000000"/>
                <w:sz w:val="22"/>
              </w:rPr>
              <w:t>14.2</w:t>
            </w:r>
          </w:p>
        </w:tc>
      </w:tr>
      <w:tr>
        <w:tblPrEx>
          <w:tblCellMar>
            <w:top w:w="0" w:type="dxa"/>
            <w:left w:w="108" w:type="dxa"/>
            <w:bottom w:w="0" w:type="dxa"/>
            <w:right w:w="108" w:type="dxa"/>
          </w:tblCellMar>
        </w:tblPrEx>
        <w:trPr>
          <w:jc w:val="center"/>
        </w:trPr>
        <w:tc>
          <w:tcPr>
            <w:tcW w:w="1531" w:type="dxa"/>
            <w:shd w:val="clear" w:color="auto" w:fill="auto"/>
            <w:tcMar>
              <w:left w:w="0" w:type="dxa"/>
              <w:right w:w="0" w:type="dxa"/>
            </w:tcMar>
          </w:tcPr>
          <w:p>
            <w:pPr>
              <w:spacing w:before="40" w:after="40"/>
              <w:ind w:left="28"/>
              <w:rPr>
                <w:rFonts w:ascii="Times New Roman" w:hAnsi="Times New Roman"/>
                <w:sz w:val="22"/>
              </w:rPr>
            </w:pPr>
            <w:r>
              <w:rPr>
                <w:rFonts w:ascii="Times New Roman" w:hAnsi="Times New Roman"/>
                <w:color w:val="000000"/>
                <w:sz w:val="22"/>
                <w:vertAlign w:val="superscript"/>
              </w:rPr>
              <w:t>208</w:t>
            </w:r>
            <w:r>
              <w:rPr>
                <w:rFonts w:ascii="Times New Roman" w:hAnsi="Times New Roman"/>
                <w:color w:val="000000"/>
                <w:sz w:val="22"/>
              </w:rPr>
              <w:t>Pb</w:t>
            </w:r>
          </w:p>
        </w:tc>
        <w:tc>
          <w:tcPr>
            <w:tcW w:w="1866" w:type="dxa"/>
            <w:shd w:val="clear" w:color="auto" w:fill="auto"/>
            <w:tcMar>
              <w:left w:w="0" w:type="dxa"/>
              <w:right w:w="0" w:type="dxa"/>
            </w:tcMar>
          </w:tcPr>
          <w:p>
            <w:pPr>
              <w:spacing w:before="40" w:after="40"/>
              <w:ind w:left="28"/>
              <w:rPr>
                <w:rFonts w:ascii="Times New Roman" w:hAnsi="Times New Roman"/>
                <w:sz w:val="22"/>
              </w:rPr>
            </w:pPr>
            <w:r>
              <w:rPr>
                <w:rFonts w:ascii="Times New Roman" w:hAnsi="Times New Roman"/>
                <w:sz w:val="22"/>
              </w:rPr>
              <w:t>3.8±0.8</w:t>
            </w:r>
            <w:r>
              <w:rPr>
                <w:rFonts w:ascii="Times New Roman" w:hAnsi="Times New Roman"/>
                <w:color w:val="000000"/>
                <w:sz w:val="22"/>
                <w:vertAlign w:val="superscript"/>
              </w:rPr>
              <w:t>c</w:t>
            </w:r>
          </w:p>
        </w:tc>
        <w:tc>
          <w:tcPr>
            <w:tcW w:w="1866" w:type="dxa"/>
            <w:shd w:val="clear" w:color="auto" w:fill="auto"/>
            <w:tcMar>
              <w:left w:w="0" w:type="dxa"/>
              <w:right w:w="0" w:type="dxa"/>
            </w:tcMar>
          </w:tcPr>
          <w:p>
            <w:pPr>
              <w:spacing w:before="40" w:after="40"/>
              <w:ind w:left="28"/>
              <w:rPr>
                <w:rFonts w:ascii="Times New Roman" w:hAnsi="Times New Roman"/>
                <w:color w:val="000000"/>
                <w:sz w:val="22"/>
              </w:rPr>
            </w:pPr>
            <w:r>
              <w:rPr>
                <w:rFonts w:ascii="Times New Roman" w:hAnsi="Times New Roman"/>
                <w:color w:val="000000"/>
                <w:sz w:val="22"/>
              </w:rPr>
              <w:t>99% enriched</w:t>
            </w:r>
          </w:p>
        </w:tc>
        <w:tc>
          <w:tcPr>
            <w:tcW w:w="1866" w:type="dxa"/>
            <w:shd w:val="clear" w:color="auto" w:fill="auto"/>
            <w:tcMar>
              <w:left w:w="0" w:type="dxa"/>
              <w:right w:w="0" w:type="dxa"/>
            </w:tcMar>
          </w:tcPr>
          <w:p>
            <w:pPr>
              <w:spacing w:before="40" w:after="40"/>
              <w:ind w:left="28"/>
              <w:jc w:val="center"/>
              <w:rPr>
                <w:rFonts w:ascii="Times New Roman" w:hAnsi="Times New Roman"/>
                <w:color w:val="000000"/>
                <w:sz w:val="22"/>
              </w:rPr>
            </w:pPr>
            <w:r>
              <w:rPr>
                <w:rFonts w:ascii="Times New Roman" w:hAnsi="Times New Roman"/>
                <w:color w:val="000000"/>
                <w:sz w:val="22"/>
              </w:rPr>
              <w:t>7.4</w:t>
            </w:r>
          </w:p>
        </w:tc>
        <w:tc>
          <w:tcPr>
            <w:tcW w:w="1291" w:type="dxa"/>
            <w:shd w:val="clear" w:color="auto" w:fill="auto"/>
            <w:tcMar>
              <w:left w:w="0" w:type="dxa"/>
              <w:right w:w="0" w:type="dxa"/>
            </w:tcMar>
          </w:tcPr>
          <w:p>
            <w:pPr>
              <w:spacing w:before="40" w:after="40"/>
              <w:ind w:left="28"/>
              <w:jc w:val="center"/>
              <w:rPr>
                <w:rFonts w:ascii="Times New Roman" w:hAnsi="Times New Roman"/>
                <w:color w:val="000000"/>
                <w:sz w:val="22"/>
              </w:rPr>
            </w:pPr>
            <w:r>
              <w:rPr>
                <w:rFonts w:ascii="Times New Roman" w:hAnsi="Times New Roman"/>
                <w:color w:val="000000"/>
                <w:sz w:val="22"/>
              </w:rPr>
              <w:t>14.1</w:t>
            </w:r>
          </w:p>
        </w:tc>
      </w:tr>
      <w:tr>
        <w:tblPrEx>
          <w:tblCellMar>
            <w:top w:w="0" w:type="dxa"/>
            <w:left w:w="108" w:type="dxa"/>
            <w:bottom w:w="0" w:type="dxa"/>
            <w:right w:w="108" w:type="dxa"/>
          </w:tblCellMar>
        </w:tblPrEx>
        <w:trPr>
          <w:jc w:val="center"/>
        </w:trPr>
        <w:tc>
          <w:tcPr>
            <w:tcW w:w="1531" w:type="dxa"/>
            <w:tcBorders>
              <w:bottom w:val="single" w:color="auto" w:sz="4" w:space="0"/>
            </w:tcBorders>
            <w:shd w:val="clear" w:color="auto" w:fill="auto"/>
            <w:tcMar>
              <w:left w:w="0" w:type="dxa"/>
              <w:right w:w="0" w:type="dxa"/>
            </w:tcMar>
          </w:tcPr>
          <w:p>
            <w:pPr>
              <w:spacing w:before="40" w:after="40"/>
              <w:ind w:left="28"/>
              <w:rPr>
                <w:rFonts w:ascii="Times New Roman" w:hAnsi="Times New Roman"/>
                <w:sz w:val="22"/>
              </w:rPr>
            </w:pPr>
            <w:r>
              <w:rPr>
                <w:rFonts w:ascii="Times New Roman" w:hAnsi="Times New Roman"/>
                <w:color w:val="000000"/>
                <w:sz w:val="22"/>
                <w:vertAlign w:val="superscript"/>
              </w:rPr>
              <w:t>209</w:t>
            </w:r>
            <w:r>
              <w:rPr>
                <w:rFonts w:ascii="Times New Roman" w:hAnsi="Times New Roman"/>
                <w:color w:val="000000"/>
                <w:sz w:val="22"/>
              </w:rPr>
              <w:t>Bi</w:t>
            </w:r>
          </w:p>
        </w:tc>
        <w:tc>
          <w:tcPr>
            <w:tcW w:w="1866" w:type="dxa"/>
            <w:tcBorders>
              <w:bottom w:val="single" w:color="auto" w:sz="4" w:space="0"/>
            </w:tcBorders>
            <w:shd w:val="clear" w:color="auto" w:fill="auto"/>
            <w:tcMar>
              <w:left w:w="0" w:type="dxa"/>
              <w:right w:w="0" w:type="dxa"/>
            </w:tcMar>
          </w:tcPr>
          <w:p>
            <w:pPr>
              <w:spacing w:before="40" w:after="40"/>
              <w:ind w:left="28"/>
              <w:rPr>
                <w:rFonts w:ascii="Times New Roman" w:hAnsi="Times New Roman"/>
                <w:sz w:val="22"/>
              </w:rPr>
            </w:pPr>
            <w:r>
              <w:rPr>
                <w:rFonts w:ascii="Times New Roman" w:hAnsi="Times New Roman"/>
                <w:sz w:val="22"/>
              </w:rPr>
              <w:t>2.6±0.01</w:t>
            </w:r>
            <w:r>
              <w:rPr>
                <w:rFonts w:ascii="Times New Roman" w:hAnsi="Times New Roman"/>
                <w:color w:val="000000"/>
                <w:sz w:val="22"/>
                <w:vertAlign w:val="superscript"/>
              </w:rPr>
              <w:t>c</w:t>
            </w:r>
          </w:p>
        </w:tc>
        <w:tc>
          <w:tcPr>
            <w:tcW w:w="1866" w:type="dxa"/>
            <w:tcBorders>
              <w:bottom w:val="single" w:color="auto" w:sz="4" w:space="0"/>
            </w:tcBorders>
            <w:shd w:val="clear" w:color="auto" w:fill="auto"/>
            <w:tcMar>
              <w:left w:w="0" w:type="dxa"/>
              <w:right w:w="0" w:type="dxa"/>
            </w:tcMar>
          </w:tcPr>
          <w:p>
            <w:pPr>
              <w:spacing w:before="40" w:after="40"/>
              <w:ind w:left="28"/>
              <w:rPr>
                <w:rFonts w:ascii="Times New Roman" w:hAnsi="Times New Roman"/>
                <w:color w:val="000000"/>
                <w:sz w:val="22"/>
              </w:rPr>
            </w:pPr>
            <w:r>
              <w:rPr>
                <w:rFonts w:ascii="Times New Roman" w:hAnsi="Times New Roman"/>
                <w:color w:val="000000"/>
                <w:sz w:val="22"/>
              </w:rPr>
              <w:t>Natural</w:t>
            </w:r>
          </w:p>
        </w:tc>
        <w:tc>
          <w:tcPr>
            <w:tcW w:w="1866" w:type="dxa"/>
            <w:tcBorders>
              <w:bottom w:val="single" w:color="auto" w:sz="4" w:space="0"/>
            </w:tcBorders>
            <w:shd w:val="clear" w:color="auto" w:fill="auto"/>
            <w:tcMar>
              <w:left w:w="0" w:type="dxa"/>
              <w:right w:w="0" w:type="dxa"/>
            </w:tcMar>
          </w:tcPr>
          <w:p>
            <w:pPr>
              <w:spacing w:before="40" w:after="40"/>
              <w:ind w:left="28"/>
              <w:jc w:val="center"/>
              <w:rPr>
                <w:rFonts w:ascii="Times New Roman" w:hAnsi="Times New Roman"/>
                <w:color w:val="000000"/>
                <w:sz w:val="22"/>
              </w:rPr>
            </w:pPr>
            <w:r>
              <w:rPr>
                <w:rFonts w:ascii="Times New Roman" w:hAnsi="Times New Roman"/>
                <w:color w:val="000000"/>
                <w:sz w:val="22"/>
              </w:rPr>
              <w:t>7.5</w:t>
            </w:r>
          </w:p>
        </w:tc>
        <w:tc>
          <w:tcPr>
            <w:tcW w:w="1291" w:type="dxa"/>
            <w:tcBorders>
              <w:bottom w:val="single" w:color="auto" w:sz="4" w:space="0"/>
            </w:tcBorders>
            <w:shd w:val="clear" w:color="auto" w:fill="auto"/>
            <w:tcMar>
              <w:left w:w="0" w:type="dxa"/>
              <w:right w:w="0" w:type="dxa"/>
            </w:tcMar>
          </w:tcPr>
          <w:p>
            <w:pPr>
              <w:spacing w:before="40" w:after="40"/>
              <w:ind w:left="28"/>
              <w:jc w:val="center"/>
              <w:rPr>
                <w:rFonts w:ascii="Times New Roman" w:hAnsi="Times New Roman"/>
                <w:color w:val="000000"/>
                <w:sz w:val="22"/>
              </w:rPr>
            </w:pPr>
            <w:r>
              <w:rPr>
                <w:rFonts w:ascii="Times New Roman" w:hAnsi="Times New Roman"/>
                <w:color w:val="000000"/>
                <w:sz w:val="22"/>
              </w:rPr>
              <w:t>14.4</w:t>
            </w:r>
          </w:p>
        </w:tc>
      </w:tr>
      <w:tr>
        <w:tblPrEx>
          <w:tblCellMar>
            <w:top w:w="0" w:type="dxa"/>
            <w:left w:w="108" w:type="dxa"/>
            <w:bottom w:w="0" w:type="dxa"/>
            <w:right w:w="108" w:type="dxa"/>
          </w:tblCellMar>
        </w:tblPrEx>
        <w:trPr>
          <w:jc w:val="center"/>
        </w:trPr>
        <w:tc>
          <w:tcPr>
            <w:tcW w:w="8420" w:type="dxa"/>
            <w:gridSpan w:val="5"/>
            <w:tcBorders>
              <w:top w:val="single" w:color="auto" w:sz="4" w:space="0"/>
            </w:tcBorders>
            <w:shd w:val="clear" w:color="auto" w:fill="auto"/>
            <w:tcMar>
              <w:left w:w="0" w:type="dxa"/>
              <w:right w:w="0" w:type="dxa"/>
            </w:tcMar>
          </w:tcPr>
          <w:p>
            <w:pPr>
              <w:ind w:left="28"/>
              <w:rPr>
                <w:rFonts w:ascii="Times New Roman" w:hAnsi="Times New Roman"/>
                <w:sz w:val="20"/>
              </w:rPr>
            </w:pPr>
            <w:r>
              <w:rPr>
                <w:rFonts w:ascii="Times New Roman" w:hAnsi="Times New Roman"/>
                <w:color w:val="000000"/>
                <w:vertAlign w:val="superscript"/>
              </w:rPr>
              <w:t>a</w:t>
            </w:r>
            <w:r>
              <w:rPr>
                <w:rFonts w:ascii="Times New Roman" w:hAnsi="Times New Roman"/>
                <w:color w:val="000000"/>
              </w:rPr>
              <w:t xml:space="preserve"> </w:t>
            </w:r>
            <w:r>
              <w:rPr>
                <w:rFonts w:ascii="Times New Roman" w:hAnsi="Times New Roman"/>
                <w:color w:val="000000"/>
                <w:sz w:val="20"/>
              </w:rPr>
              <w:t>Notes are referenced using alpha superscripts.</w:t>
            </w:r>
          </w:p>
          <w:p>
            <w:pPr>
              <w:ind w:left="28"/>
              <w:rPr>
                <w:rFonts w:ascii="Times New Roman" w:hAnsi="Times New Roman"/>
              </w:rPr>
            </w:pPr>
            <w:r>
              <w:rPr>
                <w:rFonts w:ascii="Times New Roman" w:hAnsi="Times New Roman"/>
                <w:color w:val="000000"/>
                <w:vertAlign w:val="superscript"/>
              </w:rPr>
              <w:t>b</w:t>
            </w:r>
            <w:r>
              <w:rPr>
                <w:rFonts w:ascii="Times New Roman" w:hAnsi="Times New Roman"/>
                <w:color w:val="000000"/>
              </w:rPr>
              <w:t xml:space="preserve"> </w:t>
            </w:r>
            <w:r>
              <w:rPr>
                <w:rFonts w:ascii="Times New Roman" w:hAnsi="Times New Roman"/>
                <w:color w:val="000000"/>
                <w:sz w:val="20"/>
              </w:rPr>
              <w:t>Self-supporting.</w:t>
            </w:r>
          </w:p>
          <w:p>
            <w:pPr>
              <w:ind w:left="28"/>
              <w:rPr>
                <w:rFonts w:ascii="Times New Roman" w:hAnsi="Times New Roman"/>
                <w:color w:val="000000"/>
              </w:rPr>
            </w:pPr>
            <w:r>
              <w:rPr>
                <w:rFonts w:ascii="Times New Roman" w:hAnsi="Times New Roman"/>
                <w:color w:val="000000"/>
                <w:vertAlign w:val="superscript"/>
              </w:rPr>
              <w:t>c</w:t>
            </w:r>
            <w:r>
              <w:rPr>
                <w:rFonts w:ascii="Times New Roman" w:hAnsi="Times New Roman"/>
                <w:color w:val="000000"/>
              </w:rPr>
              <w:t xml:space="preserve"> </w:t>
            </w:r>
            <w:r>
              <w:rPr>
                <w:rFonts w:ascii="Times New Roman" w:hAnsi="Times New Roman"/>
                <w:color w:val="000000"/>
                <w:sz w:val="20"/>
              </w:rPr>
              <w:t>Deposited over Al backing.</w:t>
            </w:r>
          </w:p>
        </w:tc>
      </w:tr>
    </w:tbl>
    <w:p>
      <w:pPr>
        <w:spacing w:before="240"/>
        <w:rPr>
          <w:rFonts w:ascii="Times" w:hAnsi="Times" w:cs="Times"/>
          <w:i/>
          <w:iCs/>
          <w:sz w:val="22"/>
        </w:rPr>
      </w:pPr>
      <w:r>
        <w:rPr>
          <w:rFonts w:ascii="Times" w:hAnsi="Times" w:cs="Times"/>
          <w:i/>
          <w:iCs/>
          <w:sz w:val="22"/>
        </w:rPr>
        <w:t>2.3. 公式与符号</w:t>
      </w:r>
    </w:p>
    <w:p>
      <w:pPr>
        <w:rPr>
          <w:rFonts w:ascii="Times" w:hAnsi="Times" w:cs="Times"/>
          <w:i/>
          <w:sz w:val="22"/>
        </w:rPr>
      </w:pPr>
      <w:bookmarkStart w:id="1" w:name="_Hlk26802084"/>
      <w:r>
        <w:rPr>
          <w:rFonts w:hint="eastAsia" w:ascii="Times" w:hAnsi="Times" w:cs="Times"/>
          <w:i/>
          <w:sz w:val="22"/>
        </w:rPr>
        <w:t>2</w:t>
      </w:r>
      <w:r>
        <w:rPr>
          <w:rFonts w:ascii="Times" w:hAnsi="Times" w:cs="Times"/>
          <w:i/>
          <w:sz w:val="22"/>
        </w:rPr>
        <w:t xml:space="preserve">.3.1 </w:t>
      </w:r>
      <w:r>
        <w:rPr>
          <w:rFonts w:hint="eastAsia" w:ascii="Times" w:hAnsi="Times" w:cs="Times"/>
          <w:i/>
          <w:sz w:val="22"/>
        </w:rPr>
        <w:t>公式应使用公式编辑器或者</w:t>
      </w:r>
      <w:r>
        <w:rPr>
          <w:rFonts w:ascii="Times" w:hAnsi="Times" w:cs="Times"/>
          <w:i/>
          <w:sz w:val="22"/>
        </w:rPr>
        <w:t>MathType</w:t>
      </w:r>
      <w:r>
        <w:rPr>
          <w:rFonts w:hint="eastAsia" w:ascii="Times" w:hAnsi="Times" w:cs="Times"/>
          <w:i/>
          <w:sz w:val="22"/>
        </w:rPr>
        <w:t>或者Math</w:t>
      </w:r>
      <w:r>
        <w:rPr>
          <w:rFonts w:ascii="Times" w:hAnsi="Times" w:cs="Times"/>
          <w:i/>
          <w:sz w:val="22"/>
        </w:rPr>
        <w:t xml:space="preserve"> ML</w:t>
      </w:r>
      <w:r>
        <w:rPr>
          <w:rFonts w:hint="eastAsia" w:ascii="Times" w:hAnsi="Times" w:cs="Times"/>
          <w:i/>
          <w:sz w:val="22"/>
        </w:rPr>
        <w:t>创建，字体和大小应该全本保持一致</w:t>
      </w:r>
    </w:p>
    <w:p>
      <w:pPr>
        <w:rPr>
          <w:rFonts w:ascii="Times" w:hAnsi="Times" w:cs="Times"/>
          <w:sz w:val="22"/>
        </w:rPr>
      </w:pPr>
      <w:r>
        <w:rPr>
          <w:rFonts w:ascii="Times" w:hAnsi="Times" w:cs="Times"/>
          <w:sz w:val="22"/>
        </w:rPr>
        <w:t>公式必须要清晰，公式里面不可以出现乱码，</w:t>
      </w:r>
      <w:bookmarkStart w:id="2" w:name="_Hlk26802990"/>
      <w:r>
        <w:rPr>
          <w:rFonts w:ascii="Times" w:hAnsi="Times" w:cs="Times"/>
          <w:sz w:val="22"/>
        </w:rPr>
        <w:t>每一条公式应给序号并按顺序对应好</w:t>
      </w:r>
      <w:bookmarkEnd w:id="2"/>
    </w:p>
    <w:bookmarkEnd w:id="1"/>
    <w:p>
      <w:pPr>
        <w:pStyle w:val="16"/>
        <w:rPr>
          <w:i w:val="0"/>
        </w:rPr>
      </w:pPr>
      <w:r>
        <w:tab/>
      </w:r>
      <w:r>
        <w:object>
          <v:shape id="_x0000_i1025" o:spt="75" type="#_x0000_t75" style="height:16.7pt;width:127.3pt;" o:ole="t" fillcolor="#FFFFFF"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tab/>
      </w:r>
      <w:r>
        <w:rPr>
          <w:i w:val="0"/>
        </w:rPr>
        <w:t>(1)</w:t>
      </w:r>
    </w:p>
    <w:p>
      <w:pPr>
        <w:pStyle w:val="16"/>
        <w:rPr>
          <w:i w:val="0"/>
        </w:rPr>
      </w:pPr>
      <w:r>
        <w:rPr>
          <w:i w:val="0"/>
        </w:rPr>
        <w:tab/>
      </w:r>
      <w:r>
        <w:rPr>
          <w:i w:val="0"/>
        </w:rPr>
        <w:object>
          <v:shape id="_x0000_i1026" o:spt="75" type="#_x0000_t75" style="height:16.7pt;width:165pt;" o:ole="t" fillcolor="#FFFFFF"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i w:val="0"/>
        </w:rPr>
        <w:t xml:space="preserve"> </w:t>
      </w:r>
      <w:r>
        <w:rPr>
          <w:i w:val="0"/>
        </w:rPr>
        <w:tab/>
      </w:r>
      <w:r>
        <w:rPr>
          <w:i w:val="0"/>
        </w:rPr>
        <w:t>(2)</w:t>
      </w:r>
    </w:p>
    <w:p>
      <w:pPr>
        <w:pStyle w:val="16"/>
        <w:rPr>
          <w:rFonts w:asciiTheme="minorEastAsia" w:hAnsiTheme="minorEastAsia"/>
          <w:i w:val="0"/>
        </w:rPr>
      </w:pPr>
      <w:r>
        <w:rPr>
          <w:rFonts w:asciiTheme="minorEastAsia" w:hAnsiTheme="minorEastAsia"/>
          <w:i w:val="0"/>
        </w:rPr>
        <w:t>方程式应该在数学上合理的点分开，通常在 =，+ 或 - 符号之前或在</w:t>
      </w:r>
      <w:r>
        <w:rPr>
          <w:rFonts w:hint="eastAsia" w:asciiTheme="minorEastAsia" w:hAnsiTheme="minorEastAsia"/>
          <w:i w:val="0"/>
        </w:rPr>
        <w:t>相乘</w:t>
      </w:r>
      <w:r>
        <w:rPr>
          <w:rFonts w:asciiTheme="minorEastAsia" w:hAnsiTheme="minorEastAsia"/>
          <w:i w:val="0"/>
        </w:rPr>
        <w:t>的项之间。</w:t>
      </w:r>
    </w:p>
    <w:p>
      <w:pPr>
        <w:pStyle w:val="16"/>
      </w:pPr>
      <w:r>
        <w:rPr>
          <w:rFonts w:asciiTheme="minorEastAsia" w:hAnsiTheme="minorEastAsia"/>
          <w:i w:val="0"/>
        </w:rPr>
        <w:t>正文中提到了公式时，需要将公式号放在括号里，如“equation (1)”,“equation (2)”等，且' equation '这个单词需要完整地拼写出来，不能出现缩写。</w:t>
      </w:r>
    </w:p>
    <w:p>
      <w:pPr>
        <w:pStyle w:val="16"/>
      </w:pPr>
      <w:r>
        <w:rPr>
          <w:rFonts w:hint="eastAsia"/>
        </w:rPr>
        <w:t>2</w:t>
      </w:r>
      <w:r>
        <w:t xml:space="preserve">.3.2 </w:t>
      </w:r>
      <w:r>
        <w:rPr>
          <w:rFonts w:hint="eastAsia"/>
        </w:rPr>
        <w:t>公式中的线条应该使用单实线，而不是双实线</w:t>
      </w:r>
    </w:p>
    <w:p>
      <w:pPr>
        <w:pStyle w:val="24"/>
        <w:spacing w:after="60"/>
        <w:rPr>
          <w:rFonts w:ascii="Times New Roman" w:hAnsi="Times New Roman"/>
        </w:rPr>
      </w:pPr>
      <w:r>
        <w:rPr>
          <w:rFonts w:ascii="Times New Roman" w:hAnsi="Times New Roman"/>
          <w:position w:val="-34"/>
        </w:rPr>
        <w:object>
          <v:shape id="_x0000_i1027" o:spt="75" type="#_x0000_t75" style="height:42pt;width:86.1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ascii="Times New Roman" w:hAnsi="Times New Roman"/>
        </w:rPr>
        <w:t xml:space="preserve">instead of </w:t>
      </w:r>
      <w:r>
        <w:rPr>
          <w:rFonts w:ascii="Times New Roman" w:hAnsi="Times New Roman"/>
          <w:position w:val="-26"/>
        </w:rPr>
        <w:object>
          <v:shape id="_x0000_i1028" o:spt="75" type="#_x0000_t75" style="height:35.15pt;width:78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p>
    <w:p>
      <w:pPr>
        <w:pStyle w:val="24"/>
        <w:rPr>
          <w:rFonts w:ascii="Times New Roman" w:hAnsi="Times New Roman"/>
        </w:rPr>
      </w:pPr>
      <w:r>
        <w:rPr>
          <w:rFonts w:ascii="Times New Roman" w:hAnsi="Times New Roman"/>
          <w:position w:val="-28"/>
        </w:rPr>
        <w:object>
          <v:shape id="_x0000_i1029" o:spt="75" type="#_x0000_t75" style="height:36pt;width:57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rFonts w:ascii="Times New Roman" w:hAnsi="Times New Roman"/>
        </w:rPr>
        <w:t xml:space="preserve"> instead of </w:t>
      </w:r>
      <w:r>
        <w:rPr>
          <w:rFonts w:ascii="Times New Roman" w:hAnsi="Times New Roman"/>
          <w:position w:val="-30"/>
        </w:rPr>
        <w:object>
          <v:shape id="_x0000_i1030" o:spt="75" type="#_x0000_t75" style="height:38.15pt;width:59.15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p>
    <w:p>
      <w:pPr>
        <w:pStyle w:val="16"/>
      </w:pPr>
      <w:r>
        <w:rPr>
          <w:rFonts w:hint="eastAsia"/>
        </w:rPr>
        <w:t>2</w:t>
      </w:r>
      <w:r>
        <w:t xml:space="preserve">.3.3 </w:t>
      </w:r>
      <w:r>
        <w:rPr>
          <w:rFonts w:hint="eastAsia"/>
        </w:rPr>
        <w:t>数学中的罗马字体和斜体。变量应使用斜体，但在某些情况下使用罗马字体更好：</w:t>
      </w:r>
    </w:p>
    <w:p>
      <w:pPr>
        <w:pStyle w:val="16"/>
      </w:pPr>
    </w:p>
    <w:p>
      <w:pPr>
        <w:pStyle w:val="24"/>
        <w:rPr>
          <w:rFonts w:ascii="Times New Roman" w:hAnsi="Times New Roman"/>
          <w:lang w:val="en-US"/>
        </w:rPr>
      </w:pPr>
      <w:r>
        <w:rPr>
          <w:rFonts w:ascii="Times New Roman" w:hAnsi="Times New Roman"/>
          <w:lang w:val="en-US"/>
        </w:rPr>
        <w:t xml:space="preserve">Use a Roman d for a differential d, for example, </w:t>
      </w:r>
      <w:r>
        <w:rPr>
          <w:rFonts w:ascii="Times New Roman" w:hAnsi="Times New Roman"/>
          <w:position w:val="-10"/>
          <w:lang w:val="en-US"/>
        </w:rPr>
        <w:object>
          <v:shape id="_x0000_i1031" o:spt="75" type="#_x0000_t75" style="height:16.3pt;width:65.15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p>
    <w:p>
      <w:pPr>
        <w:pStyle w:val="24"/>
        <w:rPr>
          <w:rFonts w:ascii="Times New Roman" w:hAnsi="Times New Roman"/>
          <w:lang w:val="en-US"/>
        </w:rPr>
      </w:pPr>
      <w:r>
        <w:rPr>
          <w:rFonts w:ascii="Times New Roman" w:hAnsi="Times New Roman"/>
          <w:lang w:val="en-US"/>
        </w:rPr>
        <w:t xml:space="preserve">Use a Roman e for an exponential e; for example, </w:t>
      </w:r>
      <w:bookmarkStart w:id="5" w:name="_GoBack"/>
      <w:r>
        <w:rPr>
          <w:rFonts w:ascii="Times New Roman" w:hAnsi="Times New Roman"/>
          <w:position w:val="-10"/>
          <w:lang w:val="en-US"/>
        </w:rPr>
        <w:object>
          <v:shape id="_x0000_i1032" o:spt="75" type="#_x0000_t75" style="height:17.15pt;width:31.7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19">
            <o:LockedField>false</o:LockedField>
          </o:OLEObject>
        </w:object>
      </w:r>
      <w:bookmarkEnd w:id="5"/>
    </w:p>
    <w:p>
      <w:pPr>
        <w:pStyle w:val="24"/>
        <w:rPr>
          <w:rFonts w:ascii="Times New Roman" w:hAnsi="Times New Roman"/>
          <w:lang w:val="en-US"/>
        </w:rPr>
      </w:pPr>
      <w:r>
        <w:rPr>
          <w:rFonts w:ascii="Times New Roman" w:hAnsi="Times New Roman"/>
          <w:lang w:val="en-US"/>
        </w:rPr>
        <w:t xml:space="preserve">Use a Roman i for the square root of –1; e.g., </w:t>
      </w:r>
      <w:r>
        <w:rPr>
          <w:rFonts w:ascii="Times New Roman" w:hAnsi="Times New Roman"/>
          <w:position w:val="-6"/>
          <w:lang w:val="en-US"/>
        </w:rPr>
        <w:object>
          <v:shape id="_x0000_i1033" o:spt="75" type="#_x0000_t75" style="height:16.3pt;width:38.55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1">
            <o:LockedField>false</o:LockedField>
          </o:OLEObject>
        </w:object>
      </w:r>
    </w:p>
    <w:p>
      <w:pPr>
        <w:pStyle w:val="24"/>
        <w:rPr>
          <w:rFonts w:ascii="Times New Roman" w:hAnsi="Times New Roman"/>
          <w:lang w:val="en-US"/>
        </w:rPr>
      </w:pPr>
      <w:r>
        <w:rPr>
          <w:rFonts w:ascii="Times New Roman" w:hAnsi="Times New Roman"/>
          <w:lang w:val="en-US"/>
        </w:rPr>
        <w:t xml:space="preserve">Certain other common mathematical functions, such as cos, sin, det and ker, should appear in Roman type. </w:t>
      </w:r>
    </w:p>
    <w:p>
      <w:pPr>
        <w:pStyle w:val="24"/>
        <w:rPr>
          <w:rFonts w:ascii="Times New Roman" w:hAnsi="Times New Roman"/>
          <w:lang w:val="en-US"/>
        </w:rPr>
      </w:pPr>
      <w:r>
        <w:rPr>
          <w:rFonts w:ascii="Times New Roman" w:hAnsi="Times New Roman"/>
          <w:lang w:val="en-US"/>
        </w:rPr>
        <w:t>Subscripts and superscripts should be in Roman type if they are labels rather than variables or characters that take values. For example in the equation</w:t>
      </w:r>
    </w:p>
    <w:p>
      <w:pPr>
        <w:pStyle w:val="16"/>
        <w:rPr>
          <w:rFonts w:ascii="Times New Roman" w:hAnsi="Times New Roman"/>
        </w:rPr>
      </w:pPr>
      <w:r>
        <w:rPr>
          <w:rFonts w:ascii="Times New Roman" w:hAnsi="Times New Roman"/>
        </w:rPr>
        <w:tab/>
      </w:r>
      <w:r>
        <w:rPr>
          <w:rFonts w:ascii="Times New Roman" w:hAnsi="Times New Roman"/>
          <w:position w:val="-10"/>
        </w:rPr>
        <w:object>
          <v:shape id="_x0000_i1034" o:spt="75" type="#_x0000_t75" style="height:16.3pt;width:65.15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p>
    <w:p>
      <w:pPr>
        <w:pStyle w:val="24"/>
        <w:numPr>
          <w:ilvl w:val="0"/>
          <w:numId w:val="0"/>
        </w:numPr>
        <w:ind w:left="728"/>
        <w:rPr>
          <w:rFonts w:ascii="Times New Roman" w:hAnsi="Times New Roman"/>
        </w:rPr>
      </w:pPr>
      <w:r>
        <w:rPr>
          <w:rFonts w:ascii="Times New Roman" w:hAnsi="Times New Roman"/>
          <w:i/>
        </w:rPr>
        <w:t>m</w:t>
      </w:r>
      <w:r>
        <w:rPr>
          <w:rFonts w:ascii="Times New Roman" w:hAnsi="Times New Roman"/>
        </w:rPr>
        <w:t xml:space="preserve">, the </w:t>
      </w:r>
      <w:r>
        <w:rPr>
          <w:rFonts w:ascii="Times New Roman" w:hAnsi="Times New Roman"/>
          <w:i/>
        </w:rPr>
        <w:t>z</w:t>
      </w:r>
      <w:r>
        <w:rPr>
          <w:rFonts w:ascii="Times New Roman" w:hAnsi="Times New Roman"/>
        </w:rPr>
        <w:t xml:space="preserve"> </w:t>
      </w:r>
      <w:r>
        <w:rPr>
          <w:rFonts w:ascii="Times New Roman" w:hAnsi="Times New Roman"/>
          <w:lang w:val="en-US"/>
        </w:rPr>
        <w:t>component</w:t>
      </w:r>
      <w:r>
        <w:rPr>
          <w:rFonts w:ascii="Times New Roman" w:hAnsi="Times New Roman"/>
        </w:rPr>
        <w:t xml:space="preserve"> of the nuclear spin, is italic because it can have different values whereas n is Roman because it is a label meaning nuclear.</w:t>
      </w:r>
    </w:p>
    <w:p>
      <w:pPr>
        <w:spacing w:before="240"/>
        <w:rPr>
          <w:rFonts w:ascii="Times" w:hAnsi="Times" w:cs="Times"/>
          <w:b/>
          <w:bCs/>
          <w:sz w:val="22"/>
        </w:rPr>
      </w:pPr>
      <w:r>
        <w:rPr>
          <w:rFonts w:ascii="Times" w:hAnsi="Times" w:cs="Times"/>
          <w:b/>
          <w:bCs/>
          <w:sz w:val="22"/>
        </w:rPr>
        <w:t>3. 项目基金格式说明</w:t>
      </w:r>
    </w:p>
    <w:p>
      <w:pPr>
        <w:rPr>
          <w:rFonts w:ascii="Times" w:hAnsi="Times" w:cs="Times"/>
          <w:color w:val="FF0000"/>
          <w:sz w:val="22"/>
        </w:rPr>
      </w:pPr>
      <w:r>
        <w:rPr>
          <w:rFonts w:ascii="Times" w:hAnsi="Times" w:cs="Times"/>
          <w:sz w:val="22"/>
        </w:rPr>
        <w:t>本文为国家社科基金一般项目《XXXX研究》(xxxxxxx)的阶段性成果之一。</w:t>
      </w:r>
      <w:bookmarkStart w:id="3" w:name="_Hlk26802223"/>
      <w:r>
        <w:rPr>
          <w:rFonts w:ascii="Times" w:hAnsi="Times" w:cs="Times"/>
          <w:sz w:val="22"/>
        </w:rPr>
        <w:t>项目基金必须加“</w:t>
      </w:r>
      <w:r>
        <w:rPr>
          <w:rFonts w:ascii="Times" w:hAnsi="Times" w:cs="Times"/>
          <w:b/>
          <w:sz w:val="22"/>
        </w:rPr>
        <w:t>Acknowledgments</w:t>
      </w:r>
      <w:r>
        <w:rPr>
          <w:rFonts w:ascii="Times" w:hAnsi="Times" w:cs="Times"/>
          <w:sz w:val="22"/>
        </w:rPr>
        <w:t>”标题，该标题字体为Times New Roman，字号11，段前12磅，加粗，该标题无需序号，项目基金正文内容字体为Times New Roman，字号11，（</w:t>
      </w:r>
      <w:r>
        <w:rPr>
          <w:rFonts w:ascii="Times" w:hAnsi="Times" w:cs="Times"/>
          <w:color w:val="FF0000"/>
          <w:sz w:val="22"/>
        </w:rPr>
        <w:t>注意项目基金必须放在参考文献前面）</w:t>
      </w:r>
    </w:p>
    <w:p>
      <w:pPr>
        <w:spacing w:before="240"/>
        <w:rPr>
          <w:rFonts w:ascii="Times" w:hAnsi="Times" w:cs="Times"/>
          <w:b/>
          <w:bCs/>
          <w:sz w:val="22"/>
        </w:rPr>
      </w:pPr>
      <w:r>
        <w:rPr>
          <w:rFonts w:ascii="Times" w:hAnsi="Times" w:cs="Times"/>
          <w:b/>
          <w:bCs/>
          <w:sz w:val="22"/>
        </w:rPr>
        <w:t>4. 附录（附录应包含在论文正文的末尾，</w:t>
      </w:r>
      <w:r>
        <w:rPr>
          <w:rFonts w:ascii="Times" w:hAnsi="Times" w:cs="Times"/>
          <w:b/>
          <w:bCs/>
          <w:color w:val="FF0000"/>
          <w:sz w:val="22"/>
        </w:rPr>
        <w:t>在致谢部分(如果有的话)之后，但在参考文献列表之前）</w:t>
      </w:r>
    </w:p>
    <w:p>
      <w:pPr>
        <w:pStyle w:val="17"/>
        <w:rPr>
          <w:rFonts w:cs="Times"/>
          <w:lang w:eastAsia="zh-CN"/>
        </w:rPr>
      </w:pPr>
      <w:r>
        <w:rPr>
          <w:rFonts w:cs="Times"/>
          <w:lang w:eastAsia="zh-CN"/>
        </w:rPr>
        <w:t>必要的技术细节，但打断了文章的流程，可以放在附录中。任何附录都应该包括在论文正文的结尾，在致谢部分之后(如果有的话)，但在参考文献列表之前。如果有两个或更多的附录，它们应该被称为附录A，附录B等。编号方程应以(A.1)、(A.2)等形式出现，图形应以图A1、图B1等形式出现，表格应以表A1、表B1等形式出现。</w:t>
      </w:r>
    </w:p>
    <w:p>
      <w:pPr>
        <w:spacing w:before="240"/>
        <w:rPr>
          <w:rFonts w:ascii="Times" w:hAnsi="Times" w:cs="Times"/>
          <w:b/>
          <w:bCs/>
          <w:sz w:val="22"/>
        </w:rPr>
      </w:pPr>
      <w:r>
        <w:rPr>
          <w:rFonts w:ascii="Times" w:hAnsi="Times" w:cs="Times"/>
          <w:b/>
          <w:bCs/>
          <w:sz w:val="22"/>
          <w:lang w:val="en-GB"/>
        </w:rPr>
        <w:t>5</w:t>
      </w:r>
      <w:r>
        <w:rPr>
          <w:rFonts w:ascii="Times" w:hAnsi="Times" w:cs="Times"/>
          <w:b/>
          <w:bCs/>
          <w:sz w:val="22"/>
        </w:rPr>
        <w:t xml:space="preserve">. </w:t>
      </w:r>
      <w:r>
        <w:rPr>
          <w:rFonts w:hint="eastAsia" w:ascii="Times" w:hAnsi="Times" w:cs="Times"/>
          <w:b/>
          <w:bCs/>
          <w:sz w:val="22"/>
        </w:rPr>
        <w:t>色彩</w:t>
      </w:r>
    </w:p>
    <w:p>
      <w:pPr>
        <w:pStyle w:val="17"/>
        <w:rPr>
          <w:rFonts w:cs="Times"/>
          <w:lang w:eastAsia="zh-CN"/>
        </w:rPr>
      </w:pPr>
      <w:r>
        <w:rPr>
          <w:rFonts w:hint="eastAsia" w:cs="Times"/>
          <w:lang w:eastAsia="zh-CN"/>
        </w:rPr>
        <w:t>为适应所有读者，建议插入黑白图表，以免文章在转换为黑白时降低或者丢失信息。</w:t>
      </w:r>
    </w:p>
    <w:bookmarkEnd w:id="3"/>
    <w:p>
      <w:pPr>
        <w:spacing w:before="240"/>
        <w:rPr>
          <w:rFonts w:ascii="Times" w:hAnsi="Times" w:cs="Times"/>
          <w:b/>
          <w:bCs/>
        </w:rPr>
      </w:pPr>
      <w:r>
        <w:rPr>
          <w:rFonts w:ascii="Times" w:hAnsi="Times" w:cs="Times"/>
          <w:b/>
          <w:bCs/>
        </w:rPr>
        <w:t>References参考文献格式说明</w:t>
      </w:r>
    </w:p>
    <w:p>
      <w:pPr>
        <w:pStyle w:val="11"/>
        <w:tabs>
          <w:tab w:val="clear" w:pos="1209"/>
        </w:tabs>
        <w:ind w:left="0" w:firstLine="0"/>
        <w:rPr>
          <w:rFonts w:ascii="Times" w:hAnsi="Times" w:cs="Times"/>
          <w:szCs w:val="22"/>
          <w:highlight w:val="yellow"/>
          <w:lang w:val="en-US"/>
        </w:rPr>
      </w:pPr>
      <w:r>
        <w:rPr>
          <w:rFonts w:ascii="Times" w:hAnsi="Times" w:cs="Times"/>
          <w:szCs w:val="22"/>
          <w:lang w:val="en-US"/>
        </w:rPr>
        <w:t>1、期刊：</w:t>
      </w:r>
      <w:r>
        <w:rPr>
          <w:rFonts w:ascii="Times" w:hAnsi="Times" w:cs="Times"/>
          <w:b/>
          <w:bCs/>
          <w:color w:val="FF0000"/>
          <w:w w:val="105"/>
          <w:szCs w:val="22"/>
        </w:rPr>
        <w:t>作者姓全称, 名的首字母. （出版年）</w:t>
      </w:r>
      <w:r>
        <w:rPr>
          <w:rFonts w:ascii="Times" w:hAnsi="Times" w:cs="Times"/>
          <w:b/>
          <w:bCs/>
          <w:color w:val="FF0000"/>
          <w:w w:val="105"/>
          <w:szCs w:val="22"/>
          <w:lang w:val="en-US"/>
        </w:rPr>
        <w:t xml:space="preserve"> </w:t>
      </w:r>
      <w:r>
        <w:rPr>
          <w:rFonts w:ascii="Times" w:hAnsi="Times" w:cs="Times"/>
          <w:b/>
          <w:bCs/>
          <w:color w:val="FF0000"/>
          <w:w w:val="105"/>
          <w:szCs w:val="22"/>
        </w:rPr>
        <w:t>文章名. 期刊, 卷</w:t>
      </w:r>
      <w:r>
        <w:rPr>
          <w:rFonts w:ascii="Times" w:hAnsi="Times" w:cs="Times"/>
          <w:b/>
          <w:bCs/>
          <w:color w:val="FF0000"/>
          <w:w w:val="105"/>
          <w:szCs w:val="22"/>
          <w:lang w:val="en-US"/>
        </w:rPr>
        <w:t xml:space="preserve">: </w:t>
      </w:r>
      <w:r>
        <w:rPr>
          <w:rFonts w:ascii="Times" w:hAnsi="Times" w:cs="Times"/>
          <w:b/>
          <w:bCs/>
          <w:color w:val="FF0000"/>
          <w:w w:val="105"/>
          <w:szCs w:val="22"/>
        </w:rPr>
        <w:t>页码起始–结束.</w:t>
      </w:r>
    </w:p>
    <w:p>
      <w:pPr>
        <w:pStyle w:val="10"/>
        <w:numPr>
          <w:ilvl w:val="0"/>
          <w:numId w:val="3"/>
        </w:numPr>
        <w:tabs>
          <w:tab w:val="left" w:pos="426"/>
          <w:tab w:val="clear" w:pos="567"/>
        </w:tabs>
        <w:spacing w:line="240" w:lineRule="auto"/>
        <w:rPr>
          <w:rFonts w:ascii="Times" w:hAnsi="Times" w:eastAsia="宋体" w:cs="Times"/>
          <w:w w:val="105"/>
          <w:sz w:val="22"/>
          <w:lang w:eastAsia="zh-CN"/>
        </w:rPr>
      </w:pPr>
      <w:r>
        <w:rPr>
          <w:rFonts w:ascii="Times" w:hAnsi="Times" w:cs="Times"/>
          <w:w w:val="105"/>
          <w:sz w:val="22"/>
          <w:lang w:eastAsia="zh-CN"/>
        </w:rPr>
        <w:t>Van der Geer J, Hanraads J A J and Lupton R A (2010) The art of writing a scientific article. J. Sci.</w:t>
      </w:r>
      <w:r>
        <w:rPr>
          <w:rFonts w:ascii="Times" w:hAnsi="Times" w:eastAsia="宋体" w:cs="Times"/>
          <w:w w:val="105"/>
          <w:sz w:val="22"/>
          <w:lang w:eastAsia="zh-CN"/>
        </w:rPr>
        <w:t xml:space="preserve"> </w:t>
      </w:r>
      <w:r>
        <w:rPr>
          <w:rFonts w:ascii="Times" w:hAnsi="Times" w:cs="Times"/>
          <w:w w:val="105"/>
          <w:sz w:val="22"/>
          <w:lang w:eastAsia="zh-CN"/>
        </w:rPr>
        <w:t>Commun.</w:t>
      </w:r>
      <w:r>
        <w:rPr>
          <w:rFonts w:ascii="Times" w:hAnsi="Times" w:eastAsia="宋体" w:cs="Times"/>
          <w:w w:val="105"/>
          <w:sz w:val="22"/>
          <w:lang w:eastAsia="zh-CN"/>
        </w:rPr>
        <w:t>,</w:t>
      </w:r>
      <w:r>
        <w:rPr>
          <w:rFonts w:ascii="Times" w:hAnsi="Times" w:cs="Times"/>
          <w:w w:val="105"/>
          <w:sz w:val="22"/>
          <w:lang w:eastAsia="zh-CN"/>
        </w:rPr>
        <w:t xml:space="preserve"> 163: 51–59. </w:t>
      </w:r>
    </w:p>
    <w:p>
      <w:pPr>
        <w:pStyle w:val="11"/>
        <w:tabs>
          <w:tab w:val="clear" w:pos="1209"/>
        </w:tabs>
        <w:ind w:left="0" w:firstLine="0"/>
        <w:rPr>
          <w:rFonts w:ascii="Times" w:hAnsi="Times" w:cs="Times"/>
          <w:szCs w:val="22"/>
          <w:lang w:val="en-US"/>
        </w:rPr>
      </w:pPr>
      <w:r>
        <w:rPr>
          <w:rFonts w:ascii="Times" w:hAnsi="Times" w:cs="Times"/>
          <w:szCs w:val="22"/>
        </w:rPr>
        <w:t>2、</w:t>
      </w:r>
      <w:r>
        <w:rPr>
          <w:rFonts w:ascii="Times" w:hAnsi="Times" w:cs="Times"/>
          <w:szCs w:val="22"/>
          <w:lang w:val="en-US"/>
        </w:rPr>
        <w:t>书籍：</w:t>
      </w:r>
      <w:r>
        <w:rPr>
          <w:rFonts w:ascii="Times" w:hAnsi="Times" w:cs="Times"/>
          <w:b/>
          <w:bCs/>
          <w:color w:val="FF0000"/>
          <w:szCs w:val="22"/>
          <w:lang w:val="en-US"/>
        </w:rPr>
        <w:t xml:space="preserve"> 姓全称, 名首字母. (出版年) 书名. 出版社名, 所在城市.</w:t>
      </w:r>
    </w:p>
    <w:p>
      <w:pPr>
        <w:pStyle w:val="10"/>
        <w:numPr>
          <w:ilvl w:val="0"/>
          <w:numId w:val="3"/>
        </w:numPr>
        <w:tabs>
          <w:tab w:val="left" w:pos="426"/>
          <w:tab w:val="clear" w:pos="567"/>
        </w:tabs>
        <w:spacing w:line="240" w:lineRule="auto"/>
        <w:rPr>
          <w:rFonts w:ascii="Times" w:hAnsi="Times" w:cs="Times"/>
          <w:sz w:val="22"/>
        </w:rPr>
      </w:pPr>
      <w:r>
        <w:rPr>
          <w:rFonts w:ascii="Times" w:hAnsi="Times" w:cs="Times"/>
          <w:sz w:val="22"/>
        </w:rPr>
        <w:t>Podani J (1994) Multivariate Data Analysis in Ecology and Systematics. SPB Publishing, The Hague.</w:t>
      </w:r>
    </w:p>
    <w:p>
      <w:pPr>
        <w:pStyle w:val="11"/>
        <w:tabs>
          <w:tab w:val="clear" w:pos="1209"/>
        </w:tabs>
        <w:ind w:left="0" w:firstLine="0"/>
        <w:rPr>
          <w:rFonts w:ascii="Times" w:hAnsi="Times" w:cs="Times"/>
          <w:b/>
          <w:bCs/>
          <w:color w:val="FF0000"/>
          <w:szCs w:val="22"/>
          <w:lang w:val="en-US"/>
        </w:rPr>
      </w:pPr>
      <w:r>
        <w:rPr>
          <w:rFonts w:ascii="Times" w:hAnsi="Times" w:cs="Times"/>
          <w:szCs w:val="22"/>
          <w:lang w:val="en-US"/>
        </w:rPr>
        <w:t>3、书籍中的某一章：</w:t>
      </w:r>
      <w:r>
        <w:rPr>
          <w:rFonts w:ascii="Times" w:hAnsi="Times" w:cs="Times"/>
          <w:b/>
          <w:bCs/>
          <w:color w:val="FF0000"/>
          <w:szCs w:val="22"/>
          <w:lang w:val="en-US"/>
        </w:rPr>
        <w:t xml:space="preserve"> 姓全称, 名首字母. (出版年) 章节名. In：编辑名全称, 编辑姓缩写. (Eds.), 书名（书名通常设置成倾斜，不要加中文符号“《》”）. 出版社名, 所在城市. 章节页码.</w:t>
      </w:r>
    </w:p>
    <w:p>
      <w:pPr>
        <w:pStyle w:val="10"/>
        <w:numPr>
          <w:ilvl w:val="0"/>
          <w:numId w:val="3"/>
        </w:numPr>
        <w:tabs>
          <w:tab w:val="left" w:pos="426"/>
          <w:tab w:val="clear" w:pos="567"/>
        </w:tabs>
        <w:spacing w:line="240" w:lineRule="auto"/>
        <w:rPr>
          <w:rFonts w:ascii="Times" w:hAnsi="Times" w:cs="Times"/>
          <w:sz w:val="22"/>
        </w:rPr>
      </w:pPr>
      <w:r>
        <w:rPr>
          <w:rFonts w:ascii="Times" w:hAnsi="Times" w:cs="Times"/>
          <w:sz w:val="22"/>
        </w:rPr>
        <w:t xml:space="preserve">Mettam G R </w:t>
      </w:r>
      <w:r>
        <w:rPr>
          <w:rFonts w:hint="eastAsia" w:ascii="Times" w:hAnsi="Times" w:cs="Times"/>
          <w:sz w:val="22"/>
        </w:rPr>
        <w:t>and</w:t>
      </w:r>
      <w:r>
        <w:rPr>
          <w:rFonts w:ascii="Times" w:hAnsi="Times" w:cs="Times"/>
          <w:sz w:val="22"/>
        </w:rPr>
        <w:t xml:space="preserve"> Adams, L B (2009) How to prepare an electronic version of your article. In: Jones B S and Smith R Z (Eds.), </w:t>
      </w:r>
      <w:r>
        <w:rPr>
          <w:rFonts w:ascii="Times" w:hAnsi="Times" w:cs="Times"/>
          <w:i/>
          <w:sz w:val="22"/>
        </w:rPr>
        <w:t>Introduction to the Electronic Age</w:t>
      </w:r>
      <w:r>
        <w:rPr>
          <w:rFonts w:ascii="Times" w:hAnsi="Times" w:cs="Times"/>
          <w:sz w:val="22"/>
        </w:rPr>
        <w:t>. E-Publishing Inc., New York. pp. 281-304.</w:t>
      </w:r>
    </w:p>
    <w:p>
      <w:pPr>
        <w:pStyle w:val="11"/>
        <w:tabs>
          <w:tab w:val="clear" w:pos="1209"/>
        </w:tabs>
        <w:ind w:left="0" w:firstLine="0"/>
        <w:rPr>
          <w:rFonts w:ascii="Times" w:hAnsi="Times" w:cs="Times"/>
          <w:b/>
          <w:bCs/>
          <w:color w:val="FF0000"/>
          <w:szCs w:val="22"/>
          <w:lang w:val="en-US"/>
        </w:rPr>
      </w:pPr>
      <w:r>
        <w:rPr>
          <w:rFonts w:ascii="Times" w:hAnsi="Times" w:cs="Times"/>
          <w:szCs w:val="22"/>
          <w:lang w:val="en-US"/>
        </w:rPr>
        <w:t xml:space="preserve">4、会议: </w:t>
      </w:r>
      <w:r>
        <w:rPr>
          <w:rFonts w:ascii="Times" w:hAnsi="Times" w:cs="Times"/>
          <w:b/>
          <w:bCs/>
          <w:color w:val="FF0000"/>
          <w:szCs w:val="22"/>
          <w:lang w:val="en-US"/>
        </w:rPr>
        <w:t>姓全称, 名首字母., 年. 题目. In: 会议名称. 所在城市. 页码.</w:t>
      </w:r>
    </w:p>
    <w:p>
      <w:pPr>
        <w:pStyle w:val="10"/>
        <w:numPr>
          <w:ilvl w:val="0"/>
          <w:numId w:val="3"/>
        </w:numPr>
        <w:tabs>
          <w:tab w:val="left" w:pos="426"/>
          <w:tab w:val="clear" w:pos="567"/>
        </w:tabs>
        <w:spacing w:line="240" w:lineRule="auto"/>
        <w:rPr>
          <w:rFonts w:ascii="Times" w:hAnsi="Times" w:cs="Times"/>
          <w:sz w:val="22"/>
        </w:rPr>
      </w:pPr>
      <w:r>
        <w:rPr>
          <w:rFonts w:ascii="Times" w:hAnsi="Times" w:cs="Times"/>
          <w:sz w:val="22"/>
        </w:rPr>
        <w:t>Thompson J N (1984) Insect Diversity and the Trophic Structure of Communities. In: Ecological Entomology. New York. pp. 165-178.</w:t>
      </w:r>
    </w:p>
    <w:p>
      <w:pPr>
        <w:pStyle w:val="11"/>
        <w:tabs>
          <w:tab w:val="clear" w:pos="1209"/>
        </w:tabs>
        <w:ind w:left="0" w:firstLine="0"/>
        <w:rPr>
          <w:rFonts w:ascii="Times" w:hAnsi="Times" w:cs="Times"/>
          <w:b/>
          <w:bCs/>
          <w:color w:val="FF0000"/>
          <w:szCs w:val="22"/>
          <w:lang w:val="en-US"/>
        </w:rPr>
      </w:pPr>
      <w:r>
        <w:rPr>
          <w:rFonts w:ascii="Times" w:hAnsi="Times" w:cs="Times"/>
          <w:szCs w:val="22"/>
          <w:lang w:val="en-US"/>
        </w:rPr>
        <w:t>5、网上资源：</w:t>
      </w:r>
      <w:r>
        <w:rPr>
          <w:rFonts w:ascii="Times" w:hAnsi="Times" w:cs="Times"/>
          <w:b/>
          <w:bCs/>
          <w:color w:val="FF0000"/>
          <w:szCs w:val="22"/>
          <w:lang w:val="en-US"/>
        </w:rPr>
        <w:t>作者(出处), 发表年. 文章名. 网址链接.</w:t>
      </w:r>
    </w:p>
    <w:p>
      <w:pPr>
        <w:pStyle w:val="10"/>
        <w:numPr>
          <w:ilvl w:val="0"/>
          <w:numId w:val="3"/>
        </w:numPr>
        <w:tabs>
          <w:tab w:val="left" w:pos="426"/>
          <w:tab w:val="clear" w:pos="567"/>
        </w:tabs>
        <w:spacing w:line="240" w:lineRule="auto"/>
        <w:rPr>
          <w:rFonts w:ascii="Times" w:hAnsi="Times" w:cs="Times"/>
          <w:sz w:val="22"/>
        </w:rPr>
      </w:pPr>
      <w:r>
        <w:rPr>
          <w:rFonts w:ascii="Times" w:hAnsi="Times" w:cs="Times"/>
          <w:sz w:val="22"/>
        </w:rPr>
        <w:t>Cancer Research UK. (1975) Cancer statistics reports for UK. http://www.cancerreseark.org/aboutcancer/statistics.</w:t>
      </w:r>
    </w:p>
    <w:p>
      <w:pPr>
        <w:rPr>
          <w:rFonts w:ascii="Times" w:hAnsi="Times" w:cs="Times"/>
          <w:b/>
          <w:bCs/>
          <w:color w:val="000000" w:themeColor="text1"/>
          <w:sz w:val="22"/>
          <w14:textFill>
            <w14:solidFill>
              <w14:schemeClr w14:val="tx1"/>
            </w14:solidFill>
          </w14:textFill>
        </w:rPr>
      </w:pPr>
      <w:bookmarkStart w:id="4" w:name="_Hlk26802428"/>
      <w:r>
        <w:rPr>
          <w:rFonts w:hint="eastAsia" w:ascii="Times" w:hAnsi="Times" w:cs="Times"/>
          <w:b/>
          <w:bCs/>
          <w:color w:val="000000" w:themeColor="text1"/>
          <w:sz w:val="22"/>
          <w14:textFill>
            <w14:solidFill>
              <w14:schemeClr w14:val="tx1"/>
            </w14:solidFill>
          </w14:textFill>
        </w:rPr>
        <w:t>预印版的引用，有两种不同的情况</w:t>
      </w:r>
    </w:p>
    <w:p>
      <w:pPr>
        <w:rPr>
          <w:rFonts w:ascii="Times" w:hAnsi="Times" w:cs="Times"/>
          <w:b/>
          <w:bCs/>
          <w:color w:val="000000" w:themeColor="text1"/>
          <w:sz w:val="22"/>
          <w14:textFill>
            <w14:solidFill>
              <w14:schemeClr w14:val="tx1"/>
            </w14:solidFill>
          </w14:textFill>
        </w:rPr>
      </w:pPr>
      <w:r>
        <w:rPr>
          <w:rFonts w:hint="eastAsia" w:ascii="Times" w:hAnsi="Times" w:cs="Times"/>
          <w:b/>
          <w:bCs/>
          <w:color w:val="000000" w:themeColor="text1"/>
          <w:sz w:val="22"/>
          <w14:textFill>
            <w14:solidFill>
              <w14:schemeClr w14:val="tx1"/>
            </w14:solidFill>
          </w14:textFill>
        </w:rPr>
        <w:t>1、文章已在期刊上发表，而预印本是补充参考信息。在这种情况下，参考方式为</w:t>
      </w:r>
    </w:p>
    <w:p>
      <w:pPr>
        <w:ind w:left="567" w:hanging="567"/>
        <w:rPr>
          <w:rFonts w:ascii="Times" w:hAnsi="Times" w:cs="Times"/>
          <w:bCs/>
          <w:color w:val="000000" w:themeColor="text1"/>
          <w:sz w:val="22"/>
          <w14:textFill>
            <w14:solidFill>
              <w14:schemeClr w14:val="tx1"/>
            </w14:solidFill>
          </w14:textFill>
        </w:rPr>
      </w:pPr>
      <w:r>
        <w:rPr>
          <w:rFonts w:hint="eastAsia" w:ascii="Times" w:hAnsi="Times" w:cs="Times"/>
          <w:bCs/>
          <w:color w:val="000000" w:themeColor="text1"/>
          <w:sz w:val="22"/>
          <w14:textFill>
            <w14:solidFill>
              <w14:schemeClr w14:val="tx1"/>
            </w14:solidFill>
          </w14:textFill>
        </w:rPr>
        <w:t>[</w:t>
      </w:r>
      <w:r>
        <w:rPr>
          <w:rFonts w:ascii="Times" w:hAnsi="Times" w:cs="Times"/>
          <w:bCs/>
          <w:color w:val="000000" w:themeColor="text1"/>
          <w:sz w:val="22"/>
          <w14:textFill>
            <w14:solidFill>
              <w14:schemeClr w14:val="tx1"/>
            </w14:solidFill>
          </w14:textFill>
        </w:rPr>
        <w:t>1]</w:t>
      </w:r>
      <w:r>
        <w:t xml:space="preserve"> </w:t>
      </w:r>
      <w:r>
        <w:rPr>
          <w:rFonts w:ascii="Times" w:hAnsi="Times" w:cs="Times"/>
          <w:bCs/>
          <w:color w:val="000000" w:themeColor="text1"/>
          <w:sz w:val="22"/>
          <w14:textFill>
            <w14:solidFill>
              <w14:schemeClr w14:val="tx1"/>
            </w14:solidFill>
          </w14:textFill>
        </w:rPr>
        <w:t xml:space="preserve">Kunze K 2003 T-duality and Penrose limits of spatially homogeneous and inhomogeneous </w:t>
      </w:r>
      <w:r>
        <w:rPr>
          <w:rFonts w:ascii="Times" w:hAnsi="Times" w:cs="Times"/>
          <w:bCs/>
          <w:color w:val="000000" w:themeColor="text1"/>
          <w:sz w:val="22"/>
          <w14:textFill>
            <w14:solidFill>
              <w14:schemeClr w14:val="tx1"/>
            </w14:solidFill>
          </w14:textFill>
        </w:rPr>
        <w:tab/>
      </w:r>
      <w:r>
        <w:rPr>
          <w:rFonts w:ascii="Times" w:hAnsi="Times" w:cs="Times"/>
          <w:bCs/>
          <w:color w:val="000000" w:themeColor="text1"/>
          <w:sz w:val="22"/>
          <w14:textFill>
            <w14:solidFill>
              <w14:schemeClr w14:val="tx1"/>
            </w14:solidFill>
          </w14:textFill>
        </w:rPr>
        <w:t>cosmologies Phys. Rev. D 68 063517 (Preprint gr-qc/0303038)</w:t>
      </w:r>
    </w:p>
    <w:p>
      <w:pPr>
        <w:ind w:left="567" w:hanging="567"/>
        <w:rPr>
          <w:rFonts w:ascii="Times" w:hAnsi="Times" w:cs="Times"/>
          <w:b/>
          <w:bCs/>
          <w:color w:val="000000" w:themeColor="text1"/>
          <w:sz w:val="22"/>
          <w14:textFill>
            <w14:solidFill>
              <w14:schemeClr w14:val="tx1"/>
            </w14:solidFill>
          </w14:textFill>
        </w:rPr>
      </w:pPr>
      <w:r>
        <w:rPr>
          <w:rFonts w:hint="eastAsia" w:ascii="Times" w:hAnsi="Times" w:cs="Times"/>
          <w:b/>
          <w:bCs/>
          <w:color w:val="000000" w:themeColor="text1"/>
          <w:sz w:val="22"/>
          <w14:textFill>
            <w14:solidFill>
              <w14:schemeClr w14:val="tx1"/>
            </w14:solidFill>
          </w14:textFill>
        </w:rPr>
        <w:t>2、文章未发表，仅仅是预印版，在这种情况下，参考方式为</w:t>
      </w:r>
    </w:p>
    <w:p>
      <w:pPr>
        <w:ind w:left="567" w:hanging="567"/>
        <w:rPr>
          <w:rFonts w:ascii="Times" w:hAnsi="Times" w:cs="Times"/>
          <w:bCs/>
          <w:color w:val="000000" w:themeColor="text1"/>
          <w:sz w:val="22"/>
          <w14:textFill>
            <w14:solidFill>
              <w14:schemeClr w14:val="tx1"/>
            </w14:solidFill>
          </w14:textFill>
        </w:rPr>
      </w:pPr>
      <w:r>
        <w:rPr>
          <w:rFonts w:hint="eastAsia" w:ascii="Times" w:hAnsi="Times" w:cs="Times"/>
          <w:bCs/>
          <w:color w:val="000000" w:themeColor="text1"/>
          <w:sz w:val="22"/>
          <w14:textFill>
            <w14:solidFill>
              <w14:schemeClr w14:val="tx1"/>
            </w14:solidFill>
          </w14:textFill>
        </w:rPr>
        <w:t>[</w:t>
      </w:r>
      <w:r>
        <w:rPr>
          <w:rFonts w:ascii="Times" w:hAnsi="Times" w:cs="Times"/>
          <w:bCs/>
          <w:color w:val="000000" w:themeColor="text1"/>
          <w:sz w:val="22"/>
          <w14:textFill>
            <w14:solidFill>
              <w14:schemeClr w14:val="tx1"/>
            </w14:solidFill>
          </w14:textFill>
        </w:rPr>
        <w:t>2]</w:t>
      </w:r>
      <w:r>
        <w:t xml:space="preserve"> </w:t>
      </w:r>
      <w:r>
        <w:rPr>
          <w:rFonts w:ascii="Times" w:hAnsi="Times" w:cs="Times"/>
          <w:bCs/>
          <w:color w:val="000000" w:themeColor="text1"/>
          <w:sz w:val="22"/>
          <w14:textFill>
            <w14:solidFill>
              <w14:schemeClr w14:val="tx1"/>
            </w14:solidFill>
          </w14:textFill>
        </w:rPr>
        <w:t xml:space="preserve">Milson R, Coley A, Pravda V and Pravdova A 2004 Alignment and algebraically special tensors </w:t>
      </w:r>
      <w:r>
        <w:rPr>
          <w:rFonts w:ascii="Times" w:hAnsi="Times" w:cs="Times"/>
          <w:bCs/>
          <w:color w:val="000000" w:themeColor="text1"/>
          <w:sz w:val="22"/>
          <w14:textFill>
            <w14:solidFill>
              <w14:schemeClr w14:val="tx1"/>
            </w14:solidFill>
          </w14:textFill>
        </w:rPr>
        <w:tab/>
      </w:r>
      <w:r>
        <w:rPr>
          <w:rFonts w:ascii="Times" w:hAnsi="Times" w:cs="Times"/>
          <w:bCs/>
          <w:color w:val="000000" w:themeColor="text1"/>
          <w:sz w:val="22"/>
          <w14:textFill>
            <w14:solidFill>
              <w14:schemeClr w14:val="tx1"/>
            </w14:solidFill>
          </w14:textFill>
        </w:rPr>
        <w:t>Preprint gr-qc/0401010</w:t>
      </w:r>
    </w:p>
    <w:p>
      <w:pPr>
        <w:rPr>
          <w:rFonts w:ascii="Times" w:hAnsi="Times" w:cs="Times"/>
          <w:b/>
          <w:bCs/>
          <w:color w:val="FF0000"/>
          <w:sz w:val="22"/>
        </w:rPr>
      </w:pPr>
      <w:r>
        <w:rPr>
          <w:rFonts w:hint="eastAsia" w:ascii="Times" w:hAnsi="Times" w:cs="Times"/>
          <w:b/>
          <w:bCs/>
          <w:color w:val="FF0000"/>
          <w:sz w:val="22"/>
        </w:rPr>
        <w:t>1）</w:t>
      </w:r>
      <w:r>
        <w:rPr>
          <w:rFonts w:ascii="Times" w:hAnsi="Times" w:cs="Times"/>
          <w:b/>
          <w:bCs/>
          <w:color w:val="FF0000"/>
          <w:sz w:val="22"/>
        </w:rPr>
        <w:t>参考文献标题为“References”，加粗，段前12磅，字体Times New Roman，字号11，该标题无需加序号</w:t>
      </w:r>
      <w:r>
        <w:rPr>
          <w:rFonts w:hint="eastAsia" w:ascii="Times" w:hAnsi="Times" w:cs="Times"/>
          <w:b/>
          <w:bCs/>
          <w:color w:val="FF0000"/>
          <w:sz w:val="22"/>
        </w:rPr>
        <w:t>；2）</w:t>
      </w:r>
      <w:r>
        <w:rPr>
          <w:rFonts w:ascii="Times" w:hAnsi="Times" w:cs="Times"/>
          <w:b/>
          <w:bCs/>
          <w:color w:val="FF0000"/>
          <w:sz w:val="22"/>
        </w:rPr>
        <w:t>参考文献正文字体为Times New Roman，字号11，悬挂缩进1.5 厘米</w:t>
      </w:r>
      <w:bookmarkEnd w:id="4"/>
      <w:r>
        <w:rPr>
          <w:rFonts w:ascii="Times" w:hAnsi="Times" w:cs="Times"/>
          <w:b/>
          <w:bCs/>
          <w:color w:val="FF0000"/>
          <w:sz w:val="22"/>
        </w:rPr>
        <w:t>，参考文献在整个文本中按顺序编号</w:t>
      </w:r>
      <w:r>
        <w:rPr>
          <w:rFonts w:hint="eastAsia" w:ascii="Times" w:hAnsi="Times" w:cs="Times"/>
          <w:b/>
          <w:bCs/>
          <w:color w:val="FF0000"/>
          <w:sz w:val="22"/>
        </w:rPr>
        <w:t>。3</w:t>
      </w:r>
      <w:r>
        <w:rPr>
          <w:rFonts w:ascii="Times" w:hAnsi="Times" w:cs="Times"/>
          <w:b/>
          <w:bCs/>
          <w:color w:val="FF0000"/>
          <w:sz w:val="22"/>
        </w:rPr>
        <w:t>)</w:t>
      </w:r>
      <w:r>
        <w:rPr>
          <w:rFonts w:hint="eastAsia"/>
        </w:rPr>
        <w:t xml:space="preserve"> </w:t>
      </w:r>
      <w:r>
        <w:rPr>
          <w:rFonts w:hint="eastAsia" w:ascii="Times" w:hAnsi="Times" w:cs="Times"/>
          <w:b/>
          <w:bCs/>
          <w:color w:val="FF0000"/>
          <w:sz w:val="22"/>
        </w:rPr>
        <w:t>作者姓名应为姓氏（只有第一个字母大写），其后名为首字母缩写，首字母缩写后面不加句号。作者之间用逗号隔开，但最后两位作者之间用</w:t>
      </w:r>
      <w:r>
        <w:rPr>
          <w:rFonts w:ascii="Times" w:hAnsi="Times" w:cs="Times"/>
          <w:b/>
          <w:bCs/>
          <w:color w:val="FF0000"/>
          <w:sz w:val="22"/>
        </w:rPr>
        <w:t xml:space="preserve"> "</w:t>
      </w:r>
      <w:r>
        <w:rPr>
          <w:rFonts w:hint="eastAsia" w:ascii="Times" w:hAnsi="Times" w:cs="Times"/>
          <w:b/>
          <w:bCs/>
          <w:color w:val="FF0000"/>
          <w:sz w:val="22"/>
        </w:rPr>
        <w:t>a</w:t>
      </w:r>
      <w:r>
        <w:rPr>
          <w:rFonts w:ascii="Times" w:hAnsi="Times" w:cs="Times"/>
          <w:b/>
          <w:bCs/>
          <w:color w:val="FF0000"/>
          <w:sz w:val="22"/>
        </w:rPr>
        <w:t>nd "隔开，前面不加逗号。4</w:t>
      </w:r>
      <w:r>
        <w:rPr>
          <w:rFonts w:hint="eastAsia" w:ascii="Times" w:hAnsi="Times" w:cs="Times"/>
          <w:b/>
          <w:bCs/>
          <w:color w:val="FF0000"/>
          <w:sz w:val="22"/>
        </w:rPr>
        <w:t>）参考文献不能低于5条，且被引用的文献作者来源应来自三个或者三个以上国家。</w:t>
      </w:r>
    </w:p>
    <w:p>
      <w:pPr>
        <w:widowControl/>
        <w:shd w:val="clear" w:color="auto" w:fill="FCFCFC"/>
        <w:jc w:val="center"/>
        <w:rPr>
          <w:rFonts w:cs="Times" w:eastAsiaTheme="minorHAnsi"/>
          <w:b/>
          <w:color w:val="000000" w:themeColor="text1"/>
          <w:sz w:val="22"/>
          <w:shd w:val="clear" w:color="auto" w:fill="FCFCFC"/>
          <w14:textFill>
            <w14:solidFill>
              <w14:schemeClr w14:val="tx1"/>
            </w14:solidFill>
          </w14:textFill>
        </w:rPr>
      </w:pPr>
      <w:r>
        <w:rPr>
          <w:rFonts w:hint="eastAsia" w:cs="Times" w:eastAsiaTheme="minorHAnsi"/>
          <w:b/>
          <w:color w:val="000000" w:themeColor="text1"/>
          <w:sz w:val="22"/>
          <w:highlight w:val="yellow"/>
          <w:shd w:val="clear" w:color="auto" w:fill="FCFCFC"/>
          <w14:textFill>
            <w14:solidFill>
              <w14:schemeClr w14:val="tx1"/>
            </w14:solidFill>
          </w14:textFill>
        </w:rPr>
        <w:t>文献自助检测，避免引用无效文献，建议在文献末尾添加【</w:t>
      </w:r>
      <w:r>
        <w:rPr>
          <w:rFonts w:cs="Times" w:eastAsiaTheme="minorHAnsi"/>
          <w:b/>
          <w:color w:val="000000" w:themeColor="text1"/>
          <w:sz w:val="22"/>
          <w:highlight w:val="yellow"/>
          <w:shd w:val="clear" w:color="auto" w:fill="FCFCFC"/>
          <w14:textFill>
            <w14:solidFill>
              <w14:schemeClr w14:val="tx1"/>
            </w14:solidFill>
          </w14:textFill>
        </w:rPr>
        <w:t>CrossRef</w:t>
      </w:r>
      <w:r>
        <w:rPr>
          <w:rFonts w:hint="eastAsia" w:cs="Times" w:eastAsiaTheme="minorHAnsi"/>
          <w:b/>
          <w:color w:val="000000" w:themeColor="text1"/>
          <w:sz w:val="22"/>
          <w:highlight w:val="yellow"/>
          <w:shd w:val="clear" w:color="auto" w:fill="FCFCFC"/>
          <w14:textFill>
            <w14:solidFill>
              <w14:schemeClr w14:val="tx1"/>
            </w14:solidFill>
          </w14:textFill>
        </w:rPr>
        <w:t>】超链接</w:t>
      </w:r>
    </w:p>
    <w:p>
      <w:pPr>
        <w:widowControl/>
        <w:shd w:val="clear" w:color="auto" w:fill="FCFCFC"/>
        <w:rPr>
          <w:rFonts w:cs="Times" w:eastAsiaTheme="minorHAnsi"/>
          <w:color w:val="000000" w:themeColor="text1"/>
          <w:sz w:val="20"/>
          <w:szCs w:val="20"/>
          <w:shd w:val="clear" w:color="auto" w:fill="FCFCFC"/>
          <w14:textFill>
            <w14:solidFill>
              <w14:schemeClr w14:val="tx1"/>
            </w14:solidFill>
          </w14:textFill>
        </w:rPr>
      </w:pPr>
      <w:r>
        <w:rPr>
          <w:rFonts w:cs="Times" w:eastAsiaTheme="minorHAnsi"/>
          <w:b/>
          <w:color w:val="000000" w:themeColor="text1"/>
          <w:sz w:val="20"/>
          <w:szCs w:val="20"/>
          <w:shd w:val="clear" w:color="auto" w:fill="FCFCFC"/>
          <w14:textFill>
            <w14:solidFill>
              <w14:schemeClr w14:val="tx1"/>
            </w14:solidFill>
          </w14:textFill>
        </w:rPr>
        <w:t>CrossRef 介绍</w:t>
      </w:r>
      <w:r>
        <w:rPr>
          <w:rFonts w:cs="Times" w:eastAsiaTheme="minorHAnsi"/>
          <w:b/>
          <w:color w:val="000000" w:themeColor="text1"/>
          <w:sz w:val="20"/>
          <w:szCs w:val="20"/>
          <w:shd w:val="clear" w:color="auto" w:fill="FCFCFC"/>
          <w14:textFill>
            <w14:solidFill>
              <w14:schemeClr w14:val="tx1"/>
            </w14:solidFill>
          </w14:textFill>
        </w:rPr>
        <w:cr/>
      </w:r>
      <w:r>
        <w:rPr>
          <w:rFonts w:cs="Times" w:eastAsiaTheme="minorHAnsi"/>
          <w:color w:val="000000" w:themeColor="text1"/>
          <w:sz w:val="20"/>
          <w:szCs w:val="20"/>
          <w:shd w:val="clear" w:color="auto" w:fill="FCFCFC"/>
          <w14:textFill>
            <w14:solidFill>
              <w14:schemeClr w14:val="tx1"/>
            </w14:solidFill>
          </w14:textFill>
        </w:rPr>
        <w:t>Crossref是由出版商国际链接联合会（Publisher International Linking Association，简称PILA）于2000年创建的使用DOI技术的跨出版商参考文献链接注册查询系统，过去记为CrossRef。Crossref建立了在论文的参考文献列表和引文全文之间的跨数据库链接，使得读者能够非常便捷地获取文献全文。Crossref是全球第一家也是最大一家DOI代理注册机构，为期刊的论文DOI注册提供服务。</w:t>
      </w:r>
      <w:r>
        <w:rPr>
          <w:rFonts w:cs="Times" w:eastAsiaTheme="minorHAnsi"/>
          <w:color w:val="000000" w:themeColor="text1"/>
          <w:sz w:val="20"/>
          <w:szCs w:val="20"/>
          <w:shd w:val="clear" w:color="auto" w:fill="FCFCFC"/>
          <w14:textFill>
            <w14:solidFill>
              <w14:schemeClr w14:val="tx1"/>
            </w14:solidFill>
          </w14:textFill>
        </w:rPr>
        <w:cr/>
      </w:r>
      <w:r>
        <w:rPr>
          <w:rFonts w:cs="Times" w:eastAsiaTheme="minorHAnsi"/>
          <w:color w:val="000000" w:themeColor="text1"/>
          <w:sz w:val="20"/>
          <w:szCs w:val="20"/>
          <w:shd w:val="clear" w:color="auto" w:fill="FCFCFC"/>
          <w14:textFill>
            <w14:solidFill>
              <w14:schemeClr w14:val="tx1"/>
            </w14:solidFill>
          </w14:textFill>
        </w:rPr>
        <w:cr/>
      </w:r>
      <w:r>
        <w:rPr>
          <w:rFonts w:cs="Times" w:eastAsiaTheme="minorHAnsi"/>
          <w:b/>
          <w:color w:val="000000" w:themeColor="text1"/>
          <w:sz w:val="20"/>
          <w:szCs w:val="20"/>
          <w:shd w:val="clear" w:color="auto" w:fill="FCFCFC"/>
          <w14:textFill>
            <w14:solidFill>
              <w14:schemeClr w14:val="tx1"/>
            </w14:solidFill>
          </w14:textFill>
        </w:rPr>
        <w:t>Crossref的功能</w:t>
      </w:r>
      <w:r>
        <w:rPr>
          <w:rFonts w:cs="Times" w:eastAsiaTheme="minorHAnsi"/>
          <w:b/>
          <w:color w:val="000000" w:themeColor="text1"/>
          <w:sz w:val="20"/>
          <w:szCs w:val="20"/>
          <w:shd w:val="clear" w:color="auto" w:fill="FCFCFC"/>
          <w14:textFill>
            <w14:solidFill>
              <w14:schemeClr w14:val="tx1"/>
            </w14:solidFill>
          </w14:textFill>
        </w:rPr>
        <w:cr/>
      </w:r>
      <w:r>
        <w:rPr>
          <w:rFonts w:cs="Times" w:eastAsiaTheme="minorHAnsi"/>
          <w:color w:val="000000" w:themeColor="text1"/>
          <w:sz w:val="20"/>
          <w:szCs w:val="20"/>
          <w:shd w:val="clear" w:color="auto" w:fill="FCFCFC"/>
          <w14:textFill>
            <w14:solidFill>
              <w14:schemeClr w14:val="tx1"/>
            </w14:solidFill>
          </w14:textFill>
        </w:rPr>
        <w:t>Crossref作为DOI技术的执行系统，具有以下五个重要功能，能够极大地帮助读者、期刊和作者。</w:t>
      </w:r>
      <w:r>
        <w:rPr>
          <w:rFonts w:cs="Times" w:eastAsiaTheme="minorHAnsi"/>
          <w:color w:val="000000" w:themeColor="text1"/>
          <w:sz w:val="20"/>
          <w:szCs w:val="20"/>
          <w:shd w:val="clear" w:color="auto" w:fill="FCFCFC"/>
          <w14:textFill>
            <w14:solidFill>
              <w14:schemeClr w14:val="tx1"/>
            </w14:solidFill>
          </w14:textFill>
        </w:rPr>
        <w:cr/>
      </w:r>
      <w:r>
        <w:rPr>
          <w:rFonts w:cs="Times" w:eastAsiaTheme="minorHAnsi"/>
          <w:b/>
          <w:color w:val="000000" w:themeColor="text1"/>
          <w:sz w:val="20"/>
          <w:szCs w:val="20"/>
          <w:shd w:val="clear" w:color="auto" w:fill="FCFCFC"/>
          <w14:textFill>
            <w14:solidFill>
              <w14:schemeClr w14:val="tx1"/>
            </w14:solidFill>
          </w14:textFill>
        </w:rPr>
        <w:t>1</w:t>
      </w:r>
      <w:r>
        <w:rPr>
          <w:rFonts w:hint="eastAsia" w:cs="Times" w:eastAsiaTheme="minorHAnsi"/>
          <w:b/>
          <w:color w:val="000000" w:themeColor="text1"/>
          <w:sz w:val="20"/>
          <w:szCs w:val="20"/>
          <w:shd w:val="clear" w:color="auto" w:fill="FCFCFC"/>
          <w14:textFill>
            <w14:solidFill>
              <w14:schemeClr w14:val="tx1"/>
            </w14:solidFill>
          </w14:textFill>
        </w:rPr>
        <w:t>、</w:t>
      </w:r>
      <w:r>
        <w:rPr>
          <w:rFonts w:cs="Times" w:eastAsiaTheme="minorHAnsi"/>
          <w:b/>
          <w:color w:val="000000" w:themeColor="text1"/>
          <w:sz w:val="20"/>
          <w:szCs w:val="20"/>
          <w:shd w:val="clear" w:color="auto" w:fill="FCFCFC"/>
          <w14:textFill>
            <w14:solidFill>
              <w14:schemeClr w14:val="tx1"/>
            </w14:solidFill>
          </w14:textFill>
        </w:rPr>
        <w:t>提供引文的一站式链接。</w:t>
      </w:r>
      <w:r>
        <w:rPr>
          <w:rFonts w:cs="Times" w:eastAsiaTheme="minorHAnsi"/>
          <w:color w:val="000000" w:themeColor="text1"/>
          <w:sz w:val="20"/>
          <w:szCs w:val="20"/>
          <w:shd w:val="clear" w:color="auto" w:fill="FCFCFC"/>
          <w14:textFill>
            <w14:solidFill>
              <w14:schemeClr w14:val="tx1"/>
            </w14:solidFill>
          </w14:textFill>
        </w:rPr>
        <w:t>人们在阅读论文时，希望能够通过点击参考文献的网页链接迅速获得相应的引文，而不是花费时间再去数据库中检索查找。Crossref依靠集中注册管理论著的DOI号码并将其解析成网页网址这一功能，将期刊论文、会议论文、技术报告、专著、教科书等文献整合起来，为读者提供从检索到获取文献的横跨大量出版商网站的一站式服务。</w:t>
      </w:r>
    </w:p>
    <w:p>
      <w:pPr>
        <w:widowControl/>
        <w:shd w:val="clear" w:color="auto" w:fill="FCFCFC"/>
        <w:rPr>
          <w:rFonts w:cs="Times" w:eastAsiaTheme="minorHAnsi"/>
          <w:color w:val="000000" w:themeColor="text1"/>
          <w:sz w:val="20"/>
          <w:szCs w:val="20"/>
          <w:shd w:val="clear" w:color="auto" w:fill="FCFCFC"/>
          <w14:textFill>
            <w14:solidFill>
              <w14:schemeClr w14:val="tx1"/>
            </w14:solidFill>
          </w14:textFill>
        </w:rPr>
      </w:pPr>
      <w:r>
        <w:rPr>
          <w:rFonts w:cs="Times" w:eastAsiaTheme="minorHAnsi"/>
          <w:b/>
          <w:color w:val="000000" w:themeColor="text1"/>
          <w:sz w:val="20"/>
          <w:szCs w:val="20"/>
          <w:shd w:val="clear" w:color="auto" w:fill="FCFCFC"/>
          <w14:textFill>
            <w14:solidFill>
              <w14:schemeClr w14:val="tx1"/>
            </w14:solidFill>
          </w14:textFill>
        </w:rPr>
        <w:t>2</w:t>
      </w:r>
      <w:r>
        <w:rPr>
          <w:rFonts w:hint="eastAsia" w:cs="Times" w:eastAsiaTheme="minorHAnsi"/>
          <w:b/>
          <w:color w:val="000000" w:themeColor="text1"/>
          <w:sz w:val="20"/>
          <w:szCs w:val="20"/>
          <w:shd w:val="clear" w:color="auto" w:fill="FCFCFC"/>
          <w14:textFill>
            <w14:solidFill>
              <w14:schemeClr w14:val="tx1"/>
            </w14:solidFill>
          </w14:textFill>
        </w:rPr>
        <w:t>、</w:t>
      </w:r>
      <w:r>
        <w:rPr>
          <w:rFonts w:cs="Times" w:eastAsiaTheme="minorHAnsi"/>
          <w:b/>
          <w:color w:val="000000" w:themeColor="text1"/>
          <w:sz w:val="20"/>
          <w:szCs w:val="20"/>
          <w:shd w:val="clear" w:color="auto" w:fill="FCFCFC"/>
          <w14:textFill>
            <w14:solidFill>
              <w14:schemeClr w14:val="tx1"/>
            </w14:solidFill>
          </w14:textFill>
        </w:rPr>
        <w:t>提供DOI文献的被引用情况。</w:t>
      </w:r>
      <w:r>
        <w:rPr>
          <w:rFonts w:cs="Times" w:eastAsiaTheme="minorHAnsi"/>
          <w:color w:val="000000" w:themeColor="text1"/>
          <w:sz w:val="20"/>
          <w:szCs w:val="20"/>
          <w:shd w:val="clear" w:color="auto" w:fill="FCFCFC"/>
          <w14:textFill>
            <w14:solidFill>
              <w14:schemeClr w14:val="tx1"/>
            </w14:solidFill>
          </w14:textFill>
        </w:rPr>
        <w:t>这个统计限于Crossref系统中包括的注册出版商的期刊。</w:t>
      </w:r>
      <w:r>
        <w:rPr>
          <w:rFonts w:cs="Times" w:eastAsiaTheme="minorHAnsi"/>
          <w:color w:val="000000" w:themeColor="text1"/>
          <w:sz w:val="20"/>
          <w:szCs w:val="20"/>
          <w:shd w:val="clear" w:color="auto" w:fill="FCFCFC"/>
          <w14:textFill>
            <w14:solidFill>
              <w14:schemeClr w14:val="tx1"/>
            </w14:solidFill>
          </w14:textFill>
        </w:rPr>
        <w:cr/>
      </w:r>
      <w:r>
        <w:rPr>
          <w:rFonts w:cs="Times" w:eastAsiaTheme="minorHAnsi"/>
          <w:b/>
          <w:color w:val="000000" w:themeColor="text1"/>
          <w:sz w:val="20"/>
          <w:szCs w:val="20"/>
          <w:shd w:val="clear" w:color="auto" w:fill="FCFCFC"/>
          <w14:textFill>
            <w14:solidFill>
              <w14:schemeClr w14:val="tx1"/>
            </w14:solidFill>
          </w14:textFill>
        </w:rPr>
        <w:t>3</w:t>
      </w:r>
      <w:r>
        <w:rPr>
          <w:rFonts w:hint="eastAsia" w:cs="Times" w:eastAsiaTheme="minorHAnsi"/>
          <w:b/>
          <w:color w:val="000000" w:themeColor="text1"/>
          <w:sz w:val="20"/>
          <w:szCs w:val="20"/>
          <w:shd w:val="clear" w:color="auto" w:fill="FCFCFC"/>
          <w14:textFill>
            <w14:solidFill>
              <w14:schemeClr w14:val="tx1"/>
            </w14:solidFill>
          </w14:textFill>
        </w:rPr>
        <w:t>、</w:t>
      </w:r>
      <w:r>
        <w:rPr>
          <w:rFonts w:cs="Times" w:eastAsiaTheme="minorHAnsi"/>
          <w:b/>
          <w:color w:val="000000" w:themeColor="text1"/>
          <w:sz w:val="20"/>
          <w:szCs w:val="20"/>
          <w:shd w:val="clear" w:color="auto" w:fill="FCFCFC"/>
          <w14:textFill>
            <w14:solidFill>
              <w14:schemeClr w14:val="tx1"/>
            </w14:solidFill>
          </w14:textFill>
        </w:rPr>
        <w:t>保护论文著作权。</w:t>
      </w:r>
      <w:r>
        <w:rPr>
          <w:rFonts w:cs="Times" w:eastAsiaTheme="minorHAnsi"/>
          <w:color w:val="000000" w:themeColor="text1"/>
          <w:sz w:val="20"/>
          <w:szCs w:val="20"/>
          <w:shd w:val="clear" w:color="auto" w:fill="FCFCFC"/>
          <w14:textFill>
            <w14:solidFill>
              <w14:schemeClr w14:val="tx1"/>
            </w14:solidFill>
          </w14:textFill>
        </w:rPr>
        <w:t>由</w:t>
      </w:r>
      <w:r>
        <w:rPr>
          <w:rFonts w:hint="eastAsia" w:cs="Times" w:eastAsiaTheme="minorHAnsi"/>
          <w:color w:val="000000" w:themeColor="text1"/>
          <w:sz w:val="20"/>
          <w:szCs w:val="20"/>
          <w:shd w:val="clear" w:color="auto" w:fill="FCFCFC"/>
          <w14:textFill>
            <w14:solidFill>
              <w14:schemeClr w14:val="tx1"/>
            </w14:solidFill>
          </w14:textFill>
        </w:rPr>
        <w:t>于</w:t>
      </w:r>
      <w:r>
        <w:rPr>
          <w:rFonts w:cs="Times" w:eastAsiaTheme="minorHAnsi"/>
          <w:color w:val="000000" w:themeColor="text1"/>
          <w:sz w:val="20"/>
          <w:szCs w:val="20"/>
          <w:shd w:val="clear" w:color="auto" w:fill="FCFCFC"/>
          <w14:textFill>
            <w14:solidFill>
              <w14:schemeClr w14:val="tx1"/>
            </w14:solidFill>
          </w14:textFill>
        </w:rPr>
        <w:t>DOI指向的是版权拥有者的网页，这就凸显了对著作权的权威性注册认定和保护，从而能够帮助人们识别和远离盗版网站。</w:t>
      </w:r>
      <w:r>
        <w:rPr>
          <w:rFonts w:cs="Times" w:eastAsiaTheme="minorHAnsi"/>
          <w:color w:val="000000" w:themeColor="text1"/>
          <w:sz w:val="20"/>
          <w:szCs w:val="20"/>
          <w:shd w:val="clear" w:color="auto" w:fill="FCFCFC"/>
          <w14:textFill>
            <w14:solidFill>
              <w14:schemeClr w14:val="tx1"/>
            </w14:solidFill>
          </w14:textFill>
        </w:rPr>
        <w:cr/>
      </w:r>
      <w:r>
        <w:rPr>
          <w:rFonts w:cs="Times" w:eastAsiaTheme="minorHAnsi"/>
          <w:b/>
          <w:color w:val="000000" w:themeColor="text1"/>
          <w:sz w:val="20"/>
          <w:szCs w:val="20"/>
          <w:shd w:val="clear" w:color="auto" w:fill="FCFCFC"/>
          <w14:textFill>
            <w14:solidFill>
              <w14:schemeClr w14:val="tx1"/>
            </w14:solidFill>
          </w14:textFill>
        </w:rPr>
        <w:t>4</w:t>
      </w:r>
      <w:r>
        <w:rPr>
          <w:rFonts w:hint="eastAsia" w:cs="Times" w:eastAsiaTheme="minorHAnsi"/>
          <w:b/>
          <w:color w:val="000000" w:themeColor="text1"/>
          <w:sz w:val="20"/>
          <w:szCs w:val="20"/>
          <w:shd w:val="clear" w:color="auto" w:fill="FCFCFC"/>
          <w14:textFill>
            <w14:solidFill>
              <w14:schemeClr w14:val="tx1"/>
            </w14:solidFill>
          </w14:textFill>
        </w:rPr>
        <w:t>、</w:t>
      </w:r>
      <w:r>
        <w:rPr>
          <w:rFonts w:cs="Times" w:eastAsiaTheme="minorHAnsi"/>
          <w:b/>
          <w:color w:val="000000" w:themeColor="text1"/>
          <w:sz w:val="20"/>
          <w:szCs w:val="20"/>
          <w:shd w:val="clear" w:color="auto" w:fill="FCFCFC"/>
          <w14:textFill>
            <w14:solidFill>
              <w14:schemeClr w14:val="tx1"/>
            </w14:solidFill>
          </w14:textFill>
        </w:rPr>
        <w:t>增加期刊访问流量。</w:t>
      </w:r>
      <w:r>
        <w:rPr>
          <w:rFonts w:cs="Times" w:eastAsiaTheme="minorHAnsi"/>
          <w:color w:val="000000" w:themeColor="text1"/>
          <w:sz w:val="20"/>
          <w:szCs w:val="20"/>
          <w:shd w:val="clear" w:color="auto" w:fill="FCFCFC"/>
          <w14:textFill>
            <w14:solidFill>
              <w14:schemeClr w14:val="tx1"/>
            </w14:solidFill>
          </w14:textFill>
        </w:rPr>
        <w:t>Crossref为新发表和过去发表的期刊论文注册DOI号码。在Crossref注册的各个出版商的全部论著都会自动互相建立引文链接，从而引导读者很方便地浏览期刊和访问各个出版商的网站，这就大大增加了期刊论文被访问和引用的机会。这就是为什么越来越多的出版商正在加入DOI注册体系。在世界出版业的一体化数字出版潮流影响下，过去依靠增加网络版来补充印刷版的做法已经不能满足图书馆和读者的需</w:t>
      </w:r>
      <w:r>
        <w:rPr>
          <w:rFonts w:hint="eastAsia" w:cs="Times" w:eastAsiaTheme="minorHAnsi"/>
          <w:color w:val="000000" w:themeColor="text1"/>
          <w:sz w:val="20"/>
          <w:szCs w:val="20"/>
          <w:shd w:val="clear" w:color="auto" w:fill="FCFCFC"/>
          <w14:textFill>
            <w14:solidFill>
              <w14:schemeClr w14:val="tx1"/>
            </w14:solidFill>
          </w14:textFill>
        </w:rPr>
        <w:t>求。跨平台引文链接功能已经成为未来在线期刊的最重要特征之一。出版商如果不加入像</w:t>
      </w:r>
      <w:r>
        <w:rPr>
          <w:rFonts w:cs="Times" w:eastAsiaTheme="minorHAnsi"/>
          <w:color w:val="000000" w:themeColor="text1"/>
          <w:sz w:val="20"/>
          <w:szCs w:val="20"/>
          <w:shd w:val="clear" w:color="auto" w:fill="FCFCFC"/>
          <w14:textFill>
            <w14:solidFill>
              <w14:schemeClr w14:val="tx1"/>
            </w14:solidFill>
          </w14:textFill>
        </w:rPr>
        <w:t>Crossref这种注册管理DOI的跨平台链接体系来适应出版业、图书馆和读者的需求，其出版物将面临落伍和被淘汰的危险。</w:t>
      </w:r>
      <w:r>
        <w:rPr>
          <w:rFonts w:cs="Times" w:eastAsiaTheme="minorHAnsi"/>
          <w:color w:val="000000" w:themeColor="text1"/>
          <w:sz w:val="20"/>
          <w:szCs w:val="20"/>
          <w:shd w:val="clear" w:color="auto" w:fill="FCFCFC"/>
          <w14:textFill>
            <w14:solidFill>
              <w14:schemeClr w14:val="tx1"/>
            </w14:solidFill>
          </w14:textFill>
        </w:rPr>
        <w:cr/>
      </w:r>
      <w:r>
        <w:rPr>
          <w:rFonts w:cs="Times" w:eastAsiaTheme="minorHAnsi"/>
          <w:b/>
          <w:color w:val="000000" w:themeColor="text1"/>
          <w:sz w:val="20"/>
          <w:szCs w:val="20"/>
          <w:shd w:val="clear" w:color="auto" w:fill="FCFCFC"/>
          <w14:textFill>
            <w14:solidFill>
              <w14:schemeClr w14:val="tx1"/>
            </w14:solidFill>
          </w14:textFill>
        </w:rPr>
        <w:t>5</w:t>
      </w:r>
      <w:r>
        <w:rPr>
          <w:rFonts w:hint="eastAsia" w:cs="Times" w:eastAsiaTheme="minorHAnsi"/>
          <w:b/>
          <w:color w:val="000000" w:themeColor="text1"/>
          <w:sz w:val="20"/>
          <w:szCs w:val="20"/>
          <w:shd w:val="clear" w:color="auto" w:fill="FCFCFC"/>
          <w14:textFill>
            <w14:solidFill>
              <w14:schemeClr w14:val="tx1"/>
            </w14:solidFill>
          </w14:textFill>
        </w:rPr>
        <w:t>、</w:t>
      </w:r>
      <w:r>
        <w:rPr>
          <w:rFonts w:cs="Times" w:eastAsiaTheme="minorHAnsi"/>
          <w:b/>
          <w:color w:val="000000" w:themeColor="text1"/>
          <w:sz w:val="20"/>
          <w:szCs w:val="20"/>
          <w:shd w:val="clear" w:color="auto" w:fill="FCFCFC"/>
          <w14:textFill>
            <w14:solidFill>
              <w14:schemeClr w14:val="tx1"/>
            </w14:solidFill>
          </w14:textFill>
        </w:rPr>
        <w:t>查找参考文献的DOI号码。</w:t>
      </w:r>
      <w:r>
        <w:rPr>
          <w:rFonts w:cs="Times" w:eastAsiaTheme="minorHAnsi"/>
          <w:color w:val="000000" w:themeColor="text1"/>
          <w:sz w:val="20"/>
          <w:szCs w:val="20"/>
          <w:shd w:val="clear" w:color="auto" w:fill="FCFCFC"/>
          <w14:textFill>
            <w14:solidFill>
              <w14:schemeClr w14:val="tx1"/>
            </w14:solidFill>
          </w14:textFill>
        </w:rPr>
        <w:t>很多在线期刊在参考文献的DOI号码上提供网页链接，使得读者能够点击DOI号码跳到出版商网站看到引文全文。另外，也可以根据引文的DOI号码，在DOI官网（http://dx.doi.org）查到文章，或者可以把DOI号码（例如4271/2010-36-0147）加在https://doi.org/网址后面，在浏览器的地址栏里直接输入，例如https://doi.org/10.4271/2010-36-0147。但是，目前仍然有很多论文作者在著录参考文献时没有包括DOI号码，而这并不意味着论文没有被注册DOI号码。作者可以使用Crossref提供的免费DOI查询功能（例如Simple Text Query），根据参考文献的信息查找DOI号码。</w:t>
      </w:r>
    </w:p>
    <w:p>
      <w:pPr>
        <w:widowControl/>
        <w:shd w:val="clear" w:color="auto" w:fill="FCFCFC"/>
        <w:rPr>
          <w:rFonts w:ascii="Times" w:hAnsi="Times" w:cs="Times"/>
          <w:color w:val="000000" w:themeColor="text1"/>
          <w:sz w:val="20"/>
          <w:szCs w:val="20"/>
          <w:shd w:val="clear" w:color="auto" w:fill="FCFCFC"/>
          <w14:textFill>
            <w14:solidFill>
              <w14:schemeClr w14:val="tx1"/>
            </w14:solidFill>
          </w14:textFill>
        </w:rPr>
      </w:pPr>
      <w:r>
        <w:rPr>
          <w:rFonts w:hint="eastAsia" w:ascii="Times" w:hAnsi="Times" w:cs="Times"/>
          <w:color w:val="000000" w:themeColor="text1"/>
          <w:sz w:val="20"/>
          <w:szCs w:val="20"/>
          <w:shd w:val="clear" w:color="auto" w:fill="FCFCFC"/>
          <w14:textFill>
            <w14:solidFill>
              <w14:schemeClr w14:val="tx1"/>
            </w14:solidFill>
          </w14:textFill>
        </w:rPr>
        <w:t>参考文献引用如下：</w:t>
      </w:r>
    </w:p>
    <w:p>
      <w:pPr>
        <w:widowControl/>
        <w:shd w:val="clear" w:color="auto" w:fill="FCFCFC"/>
        <w:ind w:left="567" w:hanging="567"/>
        <w:rPr>
          <w:rFonts w:ascii="Times" w:hAnsi="Times" w:cs="Times"/>
          <w:color w:val="000000" w:themeColor="text1"/>
          <w:sz w:val="20"/>
          <w:szCs w:val="20"/>
          <w:shd w:val="clear" w:color="auto" w:fill="FCFCFC"/>
          <w14:textFill>
            <w14:solidFill>
              <w14:schemeClr w14:val="tx1"/>
            </w14:solidFill>
          </w14:textFill>
        </w:rPr>
      </w:pPr>
      <w:r>
        <w:rPr>
          <w:rFonts w:ascii="Times" w:hAnsi="Times" w:cs="Times"/>
          <w:color w:val="000000" w:themeColor="text1"/>
          <w:sz w:val="20"/>
          <w:szCs w:val="20"/>
          <w:shd w:val="clear" w:color="auto" w:fill="FCFCFC"/>
          <w14:textFill>
            <w14:solidFill>
              <w14:schemeClr w14:val="tx1"/>
            </w14:solidFill>
          </w14:textFill>
        </w:rPr>
        <w:t>[1] K. R. Kumar, P. M. Reddy, M. Sadanandam, A. S. Kumar and M. Raju, "Design of 2T XOR gate based full adder using GDI technique," 2017 International Conference on Innovative Mechanisms for Industry Applications (ICIMIA), Bengaluru, India, 2017, pp. 10-13. [</w:t>
      </w:r>
      <w:r>
        <w:fldChar w:fldCharType="begin"/>
      </w:r>
      <w:r>
        <w:instrText xml:space="preserve"> HYPERLINK "https://ieeexplore.ieee.org/document/7975590" </w:instrText>
      </w:r>
      <w:r>
        <w:fldChar w:fldCharType="separate"/>
      </w:r>
      <w:r>
        <w:rPr>
          <w:rStyle w:val="7"/>
          <w:rFonts w:ascii="Times" w:hAnsi="Times" w:cs="Times"/>
          <w:sz w:val="20"/>
          <w:szCs w:val="20"/>
          <w:shd w:val="clear" w:color="auto" w:fill="FCFCFC"/>
        </w:rPr>
        <w:t>CrossRef</w:t>
      </w:r>
      <w:r>
        <w:rPr>
          <w:rStyle w:val="7"/>
          <w:rFonts w:ascii="Times" w:hAnsi="Times" w:cs="Times"/>
          <w:sz w:val="20"/>
          <w:szCs w:val="20"/>
          <w:shd w:val="clear" w:color="auto" w:fill="FCFCFC"/>
        </w:rPr>
        <w:fldChar w:fldCharType="end"/>
      </w:r>
      <w:r>
        <w:rPr>
          <w:rFonts w:ascii="Times" w:hAnsi="Times" w:cs="Times"/>
          <w:color w:val="000000" w:themeColor="text1"/>
          <w:sz w:val="20"/>
          <w:szCs w:val="20"/>
          <w:shd w:val="clear" w:color="auto" w:fill="FCFCFC"/>
          <w14:textFill>
            <w14:solidFill>
              <w14:schemeClr w14:val="tx1"/>
            </w14:solidFill>
          </w14:textFill>
        </w:rPr>
        <w:t>]</w:t>
      </w:r>
    </w:p>
    <w:p>
      <w:pPr>
        <w:widowControl/>
        <w:shd w:val="clear" w:color="auto" w:fill="FCFCFC"/>
        <w:ind w:left="567" w:hanging="567"/>
        <w:rPr>
          <w:rFonts w:ascii="Times" w:hAnsi="Times" w:cs="Times"/>
          <w:color w:val="000000" w:themeColor="text1"/>
          <w:sz w:val="20"/>
          <w:szCs w:val="20"/>
          <w:shd w:val="clear" w:color="auto" w:fill="FCFCFC"/>
          <w14:textFill>
            <w14:solidFill>
              <w14:schemeClr w14:val="tx1"/>
            </w14:solidFill>
          </w14:textFill>
        </w:rPr>
      </w:pPr>
      <w:r>
        <w:rPr>
          <w:rFonts w:ascii="Times" w:hAnsi="Times" w:cs="Times"/>
          <w:color w:val="000000" w:themeColor="text1"/>
          <w:sz w:val="20"/>
          <w:szCs w:val="20"/>
          <w:shd w:val="clear" w:color="auto" w:fill="FCFCFC"/>
          <w14:textFill>
            <w14:solidFill>
              <w14:schemeClr w14:val="tx1"/>
            </w14:solidFill>
          </w14:textFill>
        </w:rPr>
        <w:t>[2] Nan Zhuang and Haomin Wu, "A new design of the CMOS full adder," in IEEE Journal of Solid-State Circuits, vol. 27, no. 5, pp. 840-844, May 1992. [</w:t>
      </w:r>
      <w:r>
        <w:fldChar w:fldCharType="begin"/>
      </w:r>
      <w:r>
        <w:instrText xml:space="preserve"> HYPERLINK "https://ieeexplore.ieee.org/document/133177" </w:instrText>
      </w:r>
      <w:r>
        <w:fldChar w:fldCharType="separate"/>
      </w:r>
      <w:r>
        <w:rPr>
          <w:rStyle w:val="7"/>
          <w:rFonts w:ascii="Times" w:hAnsi="Times" w:cs="Times"/>
          <w:sz w:val="20"/>
          <w:szCs w:val="20"/>
          <w:shd w:val="clear" w:color="auto" w:fill="FCFCFC"/>
        </w:rPr>
        <w:t>CrossRef</w:t>
      </w:r>
      <w:r>
        <w:rPr>
          <w:rStyle w:val="7"/>
          <w:rFonts w:ascii="Times" w:hAnsi="Times" w:cs="Times"/>
          <w:sz w:val="20"/>
          <w:szCs w:val="20"/>
          <w:shd w:val="clear" w:color="auto" w:fill="FCFCFC"/>
        </w:rPr>
        <w:fldChar w:fldCharType="end"/>
      </w:r>
      <w:r>
        <w:rPr>
          <w:rFonts w:ascii="Times" w:hAnsi="Times" w:cs="Times"/>
          <w:color w:val="000000" w:themeColor="text1"/>
          <w:sz w:val="20"/>
          <w:szCs w:val="20"/>
          <w:shd w:val="clear" w:color="auto" w:fill="FCFCFC"/>
          <w14:textFill>
            <w14:solidFill>
              <w14:schemeClr w14:val="tx1"/>
            </w14:solidFill>
          </w14:textFill>
        </w:rPr>
        <w:t>]</w:t>
      </w:r>
    </w:p>
    <w:p>
      <w:pPr>
        <w:widowControl/>
        <w:shd w:val="clear" w:color="auto" w:fill="FCFCFC"/>
        <w:ind w:left="567" w:hanging="567"/>
        <w:rPr>
          <w:rFonts w:ascii="Times" w:hAnsi="Times" w:cs="Times"/>
          <w:color w:val="000000" w:themeColor="text1"/>
          <w:sz w:val="20"/>
          <w:szCs w:val="20"/>
          <w:shd w:val="clear" w:color="auto" w:fill="FCFCFC"/>
          <w14:textFill>
            <w14:solidFill>
              <w14:schemeClr w14:val="tx1"/>
            </w14:solidFill>
          </w14:textFill>
        </w:rPr>
      </w:pPr>
      <w:r>
        <w:rPr>
          <w:rFonts w:ascii="Times" w:hAnsi="Times" w:cs="Times"/>
          <w:color w:val="000000" w:themeColor="text1"/>
          <w:sz w:val="20"/>
          <w:szCs w:val="20"/>
          <w:shd w:val="clear" w:color="auto" w:fill="FCFCFC"/>
          <w14:textFill>
            <w14:solidFill>
              <w14:schemeClr w14:val="tx1"/>
            </w14:solidFill>
          </w14:textFill>
        </w:rPr>
        <w:t>[3] Hung Tien Bui, A. Al-Sheraidah and Yuke Wang, "Design and analysis of 10-transistor full adders using novel XOR-XNOR gates," WCC 2000 - ICSP 2000. 2000 5th International Conference on Signal Processing Proceedings. 16th World Computer Congress 2000, Beijing, China, 2000, pp. 619-622 vol.1. [</w:t>
      </w:r>
      <w:r>
        <w:fldChar w:fldCharType="begin"/>
      </w:r>
      <w:r>
        <w:instrText xml:space="preserve"> HYPERLINK "https://ieeexplore.ieee.org/document/894564" </w:instrText>
      </w:r>
      <w:r>
        <w:fldChar w:fldCharType="separate"/>
      </w:r>
      <w:r>
        <w:rPr>
          <w:rStyle w:val="7"/>
          <w:rFonts w:ascii="Times" w:hAnsi="Times" w:cs="Times"/>
          <w:sz w:val="20"/>
          <w:szCs w:val="20"/>
          <w:shd w:val="clear" w:color="auto" w:fill="FCFCFC"/>
        </w:rPr>
        <w:t>CrossRef</w:t>
      </w:r>
      <w:r>
        <w:rPr>
          <w:rStyle w:val="7"/>
          <w:rFonts w:ascii="Times" w:hAnsi="Times" w:cs="Times"/>
          <w:sz w:val="20"/>
          <w:szCs w:val="20"/>
          <w:shd w:val="clear" w:color="auto" w:fill="FCFCFC"/>
        </w:rPr>
        <w:fldChar w:fldCharType="end"/>
      </w:r>
      <w:r>
        <w:rPr>
          <w:rFonts w:ascii="Times" w:hAnsi="Times" w:cs="Times"/>
          <w:color w:val="000000" w:themeColor="text1"/>
          <w:sz w:val="20"/>
          <w:szCs w:val="20"/>
          <w:shd w:val="clear" w:color="auto" w:fill="FCFCFC"/>
          <w14:textFill>
            <w14:solidFill>
              <w14:schemeClr w14:val="tx1"/>
            </w14:solidFill>
          </w14:textFill>
        </w:rPr>
        <w:t>]</w:t>
      </w:r>
      <w:r>
        <w:rPr>
          <w:rFonts w:ascii="Times" w:hAnsi="Times" w:cs="Times"/>
          <w:color w:val="000000" w:themeColor="text1"/>
          <w:sz w:val="20"/>
          <w:szCs w:val="20"/>
          <w:shd w:val="clear" w:color="auto" w:fill="FCFCFC"/>
          <w14:textFill>
            <w14:solidFill>
              <w14:schemeClr w14:val="tx1"/>
            </w14:solidFill>
          </w14:textFill>
        </w:rPr>
        <w:cr/>
      </w:r>
    </w:p>
    <w:sectPr>
      <w:pgSz w:w="11906" w:h="16838"/>
      <w:pgMar w:top="2268" w:right="1418" w:bottom="1531"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汉仪中等线KW">
    <w:panose1 w:val="01010104010101010101"/>
    <w:charset w:val="86"/>
    <w:family w:val="auto"/>
    <w:pitch w:val="default"/>
    <w:sig w:usb0="800002BF" w:usb1="004F7CFA"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85171"/>
    <w:multiLevelType w:val="multilevel"/>
    <w:tmpl w:val="07B85171"/>
    <w:lvl w:ilvl="0" w:tentative="0">
      <w:start w:val="1"/>
      <w:numFmt w:val="bullet"/>
      <w:pStyle w:val="24"/>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27C415E"/>
    <w:multiLevelType w:val="multilevel"/>
    <w:tmpl w:val="127C415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3FF09B4"/>
    <w:multiLevelType w:val="multilevel"/>
    <w:tmpl w:val="63FF09B4"/>
    <w:lvl w:ilvl="0" w:tentative="0">
      <w:start w:val="1"/>
      <w:numFmt w:val="decimal"/>
      <w:pStyle w:val="19"/>
      <w:suff w:val="space"/>
      <w:lvlText w:val="%1."/>
      <w:lvlJc w:val="left"/>
      <w:pPr>
        <w:ind w:left="0" w:firstLine="0"/>
      </w:pPr>
      <w:rPr>
        <w:rFonts w:hint="default"/>
        <w:sz w:val="22"/>
      </w:rPr>
    </w:lvl>
    <w:lvl w:ilvl="1" w:tentative="0">
      <w:start w:val="1"/>
      <w:numFmt w:val="decimal"/>
      <w:pStyle w:val="18"/>
      <w:suff w:val="space"/>
      <w:lvlText w:val="%1.%2."/>
      <w:lvlJc w:val="left"/>
      <w:pPr>
        <w:ind w:left="0" w:firstLine="0"/>
      </w:pPr>
      <w:rPr>
        <w:rFonts w:hint="default"/>
        <w:lang w:val="en-GB"/>
      </w:rPr>
    </w:lvl>
    <w:lvl w:ilvl="2" w:tentative="0">
      <w:start w:val="1"/>
      <w:numFmt w:val="decimal"/>
      <w:pStyle w:val="20"/>
      <w:suff w:val="space"/>
      <w:lvlText w:val="%1.%2.%3."/>
      <w:lvlJc w:val="left"/>
      <w:pPr>
        <w:ind w:left="993" w:hanging="851"/>
      </w:pPr>
      <w:rPr>
        <w:rFonts w:hint="default"/>
        <w:i/>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BmITEwNzA0NDYwMTYyUdpeDU4uLM/DyQAsNaAKmezEcsAAAA"/>
  </w:docVars>
  <w:rsids>
    <w:rsidRoot w:val="005A3E5C"/>
    <w:rsid w:val="00004844"/>
    <w:rsid w:val="0000715A"/>
    <w:rsid w:val="00035E8F"/>
    <w:rsid w:val="00045698"/>
    <w:rsid w:val="000515E3"/>
    <w:rsid w:val="00057494"/>
    <w:rsid w:val="000D39C0"/>
    <w:rsid w:val="00102724"/>
    <w:rsid w:val="00122BB8"/>
    <w:rsid w:val="00123A8E"/>
    <w:rsid w:val="0013318B"/>
    <w:rsid w:val="00175ACB"/>
    <w:rsid w:val="00186371"/>
    <w:rsid w:val="001902AD"/>
    <w:rsid w:val="001A2A93"/>
    <w:rsid w:val="001A6900"/>
    <w:rsid w:val="001B4BAF"/>
    <w:rsid w:val="001C102D"/>
    <w:rsid w:val="001E4C8D"/>
    <w:rsid w:val="001F7C7C"/>
    <w:rsid w:val="002106BF"/>
    <w:rsid w:val="00210BEF"/>
    <w:rsid w:val="002148AE"/>
    <w:rsid w:val="00234CB3"/>
    <w:rsid w:val="00277603"/>
    <w:rsid w:val="00284A1D"/>
    <w:rsid w:val="00294FD1"/>
    <w:rsid w:val="002B5436"/>
    <w:rsid w:val="002D0AA7"/>
    <w:rsid w:val="00313EF8"/>
    <w:rsid w:val="00337DD8"/>
    <w:rsid w:val="003412B1"/>
    <w:rsid w:val="003509D1"/>
    <w:rsid w:val="003566CB"/>
    <w:rsid w:val="00372695"/>
    <w:rsid w:val="003977A1"/>
    <w:rsid w:val="003B5089"/>
    <w:rsid w:val="003C1AC8"/>
    <w:rsid w:val="003D5573"/>
    <w:rsid w:val="0040013D"/>
    <w:rsid w:val="00401EBB"/>
    <w:rsid w:val="004236F5"/>
    <w:rsid w:val="00423BE2"/>
    <w:rsid w:val="00424456"/>
    <w:rsid w:val="00437630"/>
    <w:rsid w:val="004411E8"/>
    <w:rsid w:val="004516BF"/>
    <w:rsid w:val="00454836"/>
    <w:rsid w:val="00464078"/>
    <w:rsid w:val="004659D5"/>
    <w:rsid w:val="004B1145"/>
    <w:rsid w:val="004D50BF"/>
    <w:rsid w:val="004F31B6"/>
    <w:rsid w:val="00502E05"/>
    <w:rsid w:val="005333A7"/>
    <w:rsid w:val="00537719"/>
    <w:rsid w:val="005400E2"/>
    <w:rsid w:val="00545CE1"/>
    <w:rsid w:val="00550C1E"/>
    <w:rsid w:val="005541D4"/>
    <w:rsid w:val="0057449A"/>
    <w:rsid w:val="00584496"/>
    <w:rsid w:val="005A3E5C"/>
    <w:rsid w:val="005B0B96"/>
    <w:rsid w:val="005B0C8C"/>
    <w:rsid w:val="005B2BF7"/>
    <w:rsid w:val="005E5553"/>
    <w:rsid w:val="006235FC"/>
    <w:rsid w:val="00625833"/>
    <w:rsid w:val="006A0607"/>
    <w:rsid w:val="006A09A8"/>
    <w:rsid w:val="006A2923"/>
    <w:rsid w:val="006E37B1"/>
    <w:rsid w:val="00701647"/>
    <w:rsid w:val="00711574"/>
    <w:rsid w:val="0074506E"/>
    <w:rsid w:val="00793E77"/>
    <w:rsid w:val="007A16F1"/>
    <w:rsid w:val="007B3D73"/>
    <w:rsid w:val="007C0D73"/>
    <w:rsid w:val="007C6302"/>
    <w:rsid w:val="007D007E"/>
    <w:rsid w:val="007E27DB"/>
    <w:rsid w:val="007E5397"/>
    <w:rsid w:val="007F2C3C"/>
    <w:rsid w:val="007F78AB"/>
    <w:rsid w:val="00817091"/>
    <w:rsid w:val="00817DED"/>
    <w:rsid w:val="00836736"/>
    <w:rsid w:val="00884A9B"/>
    <w:rsid w:val="00896FA8"/>
    <w:rsid w:val="008B791C"/>
    <w:rsid w:val="008C6863"/>
    <w:rsid w:val="008D2EA1"/>
    <w:rsid w:val="008E0C6C"/>
    <w:rsid w:val="008E3004"/>
    <w:rsid w:val="008E5BFD"/>
    <w:rsid w:val="00925667"/>
    <w:rsid w:val="00942868"/>
    <w:rsid w:val="00943AD2"/>
    <w:rsid w:val="009914D8"/>
    <w:rsid w:val="009A3FB0"/>
    <w:rsid w:val="009A6F07"/>
    <w:rsid w:val="009A794A"/>
    <w:rsid w:val="00A05E06"/>
    <w:rsid w:val="00A141CA"/>
    <w:rsid w:val="00A460B4"/>
    <w:rsid w:val="00A73CA8"/>
    <w:rsid w:val="00A841CB"/>
    <w:rsid w:val="00A850BA"/>
    <w:rsid w:val="00AB0DFC"/>
    <w:rsid w:val="00AF2D90"/>
    <w:rsid w:val="00B63553"/>
    <w:rsid w:val="00B9535D"/>
    <w:rsid w:val="00BB3F37"/>
    <w:rsid w:val="00BC144A"/>
    <w:rsid w:val="00BC2580"/>
    <w:rsid w:val="00BD0CD2"/>
    <w:rsid w:val="00BD4ED5"/>
    <w:rsid w:val="00C10E2D"/>
    <w:rsid w:val="00C37548"/>
    <w:rsid w:val="00C600AB"/>
    <w:rsid w:val="00C64113"/>
    <w:rsid w:val="00C85309"/>
    <w:rsid w:val="00C8653F"/>
    <w:rsid w:val="00CA56B2"/>
    <w:rsid w:val="00CB32DF"/>
    <w:rsid w:val="00CD2234"/>
    <w:rsid w:val="00D037A4"/>
    <w:rsid w:val="00D3226E"/>
    <w:rsid w:val="00D41A76"/>
    <w:rsid w:val="00D82943"/>
    <w:rsid w:val="00D8417A"/>
    <w:rsid w:val="00D86A57"/>
    <w:rsid w:val="00DE3162"/>
    <w:rsid w:val="00E17065"/>
    <w:rsid w:val="00E456B8"/>
    <w:rsid w:val="00E74614"/>
    <w:rsid w:val="00EB2F29"/>
    <w:rsid w:val="00EB4C4F"/>
    <w:rsid w:val="00EC0B3F"/>
    <w:rsid w:val="00F054A4"/>
    <w:rsid w:val="00F34D54"/>
    <w:rsid w:val="00F41634"/>
    <w:rsid w:val="00F67A0A"/>
    <w:rsid w:val="E08D91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3"/>
    <w:unhideWhenUsed/>
    <w:uiPriority w:val="99"/>
    <w:pPr>
      <w:tabs>
        <w:tab w:val="center" w:pos="4153"/>
        <w:tab w:val="right" w:pos="8306"/>
      </w:tabs>
      <w:snapToGrid w:val="0"/>
      <w:jc w:val="left"/>
    </w:pPr>
    <w:rPr>
      <w:sz w:val="18"/>
      <w:szCs w:val="18"/>
    </w:rPr>
  </w:style>
  <w:style w:type="paragraph" w:styleId="3">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99"/>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563C1" w:themeColor="hyperlink"/>
      <w:u w:val="single"/>
      <w14:textFill>
        <w14:solidFill>
          <w14:schemeClr w14:val="hlink"/>
        </w14:solidFill>
      </w14:textFill>
    </w:rPr>
  </w:style>
  <w:style w:type="paragraph" w:customStyle="1" w:styleId="8">
    <w:name w:val="TTP Address"/>
    <w:basedOn w:val="1"/>
    <w:uiPriority w:val="99"/>
    <w:pPr>
      <w:widowControl/>
      <w:autoSpaceDE w:val="0"/>
      <w:autoSpaceDN w:val="0"/>
      <w:spacing w:before="120"/>
      <w:jc w:val="center"/>
    </w:pPr>
    <w:rPr>
      <w:rFonts w:ascii="Arial" w:hAnsi="Arial" w:eastAsia="宋体" w:cs="Arial"/>
      <w:kern w:val="0"/>
      <w:sz w:val="22"/>
      <w:lang w:eastAsia="en-US"/>
    </w:rPr>
  </w:style>
  <w:style w:type="character" w:customStyle="1" w:styleId="9">
    <w:name w:val="12-References Char"/>
    <w:link w:val="10"/>
    <w:uiPriority w:val="0"/>
    <w:rPr>
      <w:rFonts w:eastAsia="Times"/>
      <w:sz w:val="16"/>
      <w:lang w:eastAsia="en-US"/>
    </w:rPr>
  </w:style>
  <w:style w:type="paragraph" w:customStyle="1" w:styleId="10">
    <w:name w:val="12-References"/>
    <w:basedOn w:val="1"/>
    <w:link w:val="9"/>
    <w:uiPriority w:val="0"/>
    <w:pPr>
      <w:widowControl/>
      <w:tabs>
        <w:tab w:val="left" w:pos="567"/>
      </w:tabs>
      <w:spacing w:line="180" w:lineRule="exact"/>
      <w:ind w:left="567" w:hanging="567"/>
    </w:pPr>
    <w:rPr>
      <w:rFonts w:eastAsia="Times"/>
      <w:sz w:val="16"/>
      <w:lang w:eastAsia="en-US"/>
    </w:rPr>
  </w:style>
  <w:style w:type="paragraph" w:customStyle="1" w:styleId="11">
    <w:name w:val="13 Reference List"/>
    <w:basedOn w:val="1"/>
    <w:uiPriority w:val="0"/>
    <w:pPr>
      <w:tabs>
        <w:tab w:val="left" w:pos="720"/>
        <w:tab w:val="left" w:pos="1209"/>
      </w:tabs>
      <w:ind w:left="720" w:hanging="360"/>
    </w:pPr>
    <w:rPr>
      <w:rFonts w:ascii="Calibri" w:hAnsi="Calibri" w:eastAsia="宋体" w:cs="Times New Roman"/>
      <w:sz w:val="22"/>
      <w:szCs w:val="24"/>
      <w:lang w:val="en-GB"/>
    </w:rPr>
  </w:style>
  <w:style w:type="character" w:customStyle="1" w:styleId="12">
    <w:name w:val="页眉 字符"/>
    <w:basedOn w:val="6"/>
    <w:link w:val="3"/>
    <w:uiPriority w:val="99"/>
    <w:rPr>
      <w:sz w:val="18"/>
      <w:szCs w:val="18"/>
    </w:rPr>
  </w:style>
  <w:style w:type="character" w:customStyle="1" w:styleId="13">
    <w:name w:val="页脚 字符"/>
    <w:basedOn w:val="6"/>
    <w:link w:val="2"/>
    <w:uiPriority w:val="99"/>
    <w:rPr>
      <w:sz w:val="18"/>
      <w:szCs w:val="18"/>
    </w:rPr>
  </w:style>
  <w:style w:type="character" w:customStyle="1" w:styleId="14">
    <w:name w:val="Unresolved Mention"/>
    <w:basedOn w:val="6"/>
    <w:semiHidden/>
    <w:unhideWhenUsed/>
    <w:uiPriority w:val="99"/>
    <w:rPr>
      <w:color w:val="605E5C"/>
      <w:shd w:val="clear" w:color="auto" w:fill="E1DFDD"/>
    </w:rPr>
  </w:style>
  <w:style w:type="paragraph" w:customStyle="1" w:styleId="15">
    <w:name w:val="E-mail"/>
    <w:next w:val="1"/>
    <w:uiPriority w:val="0"/>
    <w:pPr>
      <w:spacing w:after="240"/>
      <w:ind w:left="1418"/>
    </w:pPr>
    <w:rPr>
      <w:rFonts w:ascii="Times" w:hAnsi="Times" w:cs="Times New Roman" w:eastAsiaTheme="minorEastAsia"/>
      <w:kern w:val="0"/>
      <w:sz w:val="22"/>
      <w:szCs w:val="22"/>
      <w:lang w:val="en-US" w:eastAsia="en-US" w:bidi="ar-SA"/>
    </w:rPr>
  </w:style>
  <w:style w:type="paragraph" w:customStyle="1" w:styleId="16">
    <w:name w:val="EQN"/>
    <w:basedOn w:val="1"/>
    <w:uiPriority w:val="0"/>
    <w:pPr>
      <w:widowControl/>
      <w:tabs>
        <w:tab w:val="center" w:pos="4820"/>
        <w:tab w:val="right" w:pos="9072"/>
      </w:tabs>
    </w:pPr>
    <w:rPr>
      <w:rFonts w:ascii="Times" w:hAnsi="Times" w:cs="Times"/>
      <w:i/>
      <w:color w:val="000000"/>
      <w:kern w:val="0"/>
      <w:sz w:val="22"/>
    </w:rPr>
  </w:style>
  <w:style w:type="paragraph" w:customStyle="1" w:styleId="17">
    <w:name w:val="Body Char"/>
    <w:link w:val="21"/>
    <w:uiPriority w:val="0"/>
    <w:pPr>
      <w:tabs>
        <w:tab w:val="left" w:pos="567"/>
      </w:tabs>
      <w:jc w:val="both"/>
    </w:pPr>
    <w:rPr>
      <w:rFonts w:ascii="Times" w:hAnsi="Times" w:cs="Times New Roman" w:eastAsiaTheme="minorEastAsia"/>
      <w:color w:val="000000"/>
      <w:kern w:val="0"/>
      <w:sz w:val="22"/>
      <w:szCs w:val="22"/>
      <w:lang w:val="en-GB" w:eastAsia="en-US" w:bidi="ar-SA"/>
    </w:rPr>
  </w:style>
  <w:style w:type="paragraph" w:customStyle="1" w:styleId="18">
    <w:name w:val="subsection"/>
    <w:uiPriority w:val="0"/>
    <w:pPr>
      <w:numPr>
        <w:ilvl w:val="1"/>
        <w:numId w:val="1"/>
      </w:numPr>
      <w:tabs>
        <w:tab w:val="left" w:pos="567"/>
      </w:tabs>
      <w:spacing w:before="240"/>
    </w:pPr>
    <w:rPr>
      <w:rFonts w:ascii="Times" w:hAnsi="Times" w:cs="Times New Roman" w:eastAsiaTheme="minorEastAsia"/>
      <w:i/>
      <w:iCs/>
      <w:color w:val="000000"/>
      <w:kern w:val="0"/>
      <w:sz w:val="22"/>
      <w:szCs w:val="22"/>
      <w:lang w:val="en-US" w:eastAsia="en-US" w:bidi="ar-SA"/>
    </w:rPr>
  </w:style>
  <w:style w:type="paragraph" w:customStyle="1" w:styleId="19">
    <w:name w:val="section"/>
    <w:link w:val="22"/>
    <w:uiPriority w:val="0"/>
    <w:pPr>
      <w:numPr>
        <w:ilvl w:val="0"/>
        <w:numId w:val="1"/>
      </w:numPr>
      <w:tabs>
        <w:tab w:val="left" w:pos="567"/>
      </w:tabs>
      <w:spacing w:before="240"/>
    </w:pPr>
    <w:rPr>
      <w:rFonts w:ascii="Times" w:hAnsi="Times" w:cs="Times New Roman" w:eastAsiaTheme="minorEastAsia"/>
      <w:b/>
      <w:color w:val="000000"/>
      <w:kern w:val="0"/>
      <w:sz w:val="22"/>
      <w:szCs w:val="22"/>
      <w:lang w:val="en-GB" w:eastAsia="en-US" w:bidi="ar-SA"/>
    </w:rPr>
  </w:style>
  <w:style w:type="paragraph" w:customStyle="1" w:styleId="20">
    <w:name w:val="subsubsection"/>
    <w:uiPriority w:val="0"/>
    <w:pPr>
      <w:numPr>
        <w:ilvl w:val="2"/>
        <w:numId w:val="1"/>
      </w:numPr>
      <w:tabs>
        <w:tab w:val="left" w:pos="567"/>
      </w:tabs>
      <w:spacing w:before="240"/>
      <w:ind w:left="0" w:firstLine="0"/>
      <w:jc w:val="both"/>
    </w:pPr>
    <w:rPr>
      <w:rFonts w:ascii="Times" w:hAnsi="Times" w:cs="Times New Roman" w:eastAsiaTheme="minorEastAsia"/>
      <w:i/>
      <w:iCs/>
      <w:color w:val="000000"/>
      <w:kern w:val="0"/>
      <w:sz w:val="22"/>
      <w:szCs w:val="22"/>
      <w:lang w:val="en-US" w:eastAsia="en-US" w:bidi="ar-SA"/>
    </w:rPr>
  </w:style>
  <w:style w:type="character" w:customStyle="1" w:styleId="21">
    <w:name w:val="Body Char Char"/>
    <w:link w:val="17"/>
    <w:uiPriority w:val="0"/>
    <w:rPr>
      <w:rFonts w:ascii="Times" w:hAnsi="Times" w:cs="Times New Roman"/>
      <w:color w:val="000000"/>
      <w:kern w:val="0"/>
      <w:sz w:val="22"/>
      <w:lang w:val="en-GB" w:eastAsia="en-US"/>
    </w:rPr>
  </w:style>
  <w:style w:type="character" w:customStyle="1" w:styleId="22">
    <w:name w:val="section Char"/>
    <w:link w:val="19"/>
    <w:uiPriority w:val="0"/>
    <w:rPr>
      <w:rFonts w:ascii="Times" w:hAnsi="Times" w:cs="Times New Roman"/>
      <w:b/>
      <w:color w:val="000000"/>
      <w:kern w:val="0"/>
      <w:sz w:val="22"/>
      <w:lang w:val="en-GB" w:eastAsia="en-US"/>
    </w:rPr>
  </w:style>
  <w:style w:type="paragraph" w:customStyle="1" w:styleId="23">
    <w:name w:val="Table.Caption.Centred"/>
    <w:basedOn w:val="1"/>
    <w:uiPriority w:val="0"/>
    <w:pPr>
      <w:widowControl/>
      <w:spacing w:after="120"/>
      <w:jc w:val="center"/>
    </w:pPr>
    <w:rPr>
      <w:rFonts w:ascii="Times" w:hAnsi="Times" w:cs="Times New Roman"/>
      <w:color w:val="000000"/>
      <w:kern w:val="0"/>
      <w:sz w:val="22"/>
      <w:lang w:val="en-GB" w:eastAsia="en-US"/>
    </w:rPr>
  </w:style>
  <w:style w:type="paragraph" w:customStyle="1" w:styleId="24">
    <w:name w:val="Bulleted"/>
    <w:uiPriority w:val="0"/>
    <w:pPr>
      <w:numPr>
        <w:ilvl w:val="0"/>
        <w:numId w:val="2"/>
      </w:numPr>
      <w:jc w:val="both"/>
    </w:pPr>
    <w:rPr>
      <w:rFonts w:ascii="Times" w:hAnsi="Times" w:cs="Times New Roman" w:eastAsiaTheme="minorEastAsia"/>
      <w:color w:val="000000"/>
      <w:kern w:val="0"/>
      <w:sz w:val="22"/>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image" Target="media/image10.wmf"/><Relationship Id="rId21" Type="http://schemas.openxmlformats.org/officeDocument/2006/relationships/oleObject" Target="embeddings/oleObject9.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4BF27-CF88-418B-86D1-AEF260493555}">
  <ds:schemaRefs/>
</ds:datastoreItem>
</file>

<file path=docProps/app.xml><?xml version="1.0" encoding="utf-8"?>
<Properties xmlns="http://schemas.openxmlformats.org/officeDocument/2006/extended-properties" xmlns:vt="http://schemas.openxmlformats.org/officeDocument/2006/docPropsVTypes">
  <Pages>6</Pages>
  <Words>1195</Words>
  <Characters>6813</Characters>
  <Lines>56</Lines>
  <Paragraphs>15</Paragraphs>
  <TotalTime>414</TotalTime>
  <ScaleCrop>false</ScaleCrop>
  <LinksUpToDate>false</LinksUpToDate>
  <CharactersWithSpaces>7993</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2019-10-15T09:15:00Z</dcterms:created>
  <dc:creator>Windows 用户</dc:creator>
  <cp:lastModifiedBy>Ahmad Badrul Hisham bin</cp:lastModifiedBy>
  <dcterms:modified xsi:type="dcterms:W3CDTF">2024-05-20T16:32:25Z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